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Организация интерфейса с пользователем: контроль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Организация интерфейса с пользователем: контроль, Занятие №24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кейс-метод,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аналитические компетенции в области организации интерфейса пользователя с базой данных: эшелонированный контроль входных данных (клиентская валидация vs серверные ограничения СУБД), защита от SQL-инъекций через параметризованные запросы, обработка кодов исключений стандарта SQLSTATE и маппинг дружественных ошибок.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двухуровневую модель валидации (Frontend UX vs Backend/СУБД Data Integrity); освоить составление регулярных выражений с граничными якорями ^ и $ и алгоритмы контрольных сумм (ИНН-10); изучить физический принцип защиты Prepared Statements от SQL-инъекций; освоить коды стандарта SQLSTATE (классы 23, 40, P0) и архитектурный паттерн Error Mapping.</w:t>
              <w:br/>
              <w:t>развивающие: развивать системное инженерное мышление при проектировании отказоустойчивых интерфейсов; формировать навыки предупреждения коллизий конкурентных транзакций (Race Condition) и овербукинга с помощью блокировок SELECT FOR UPDATE.</w:t>
              <w:br/>
              <w:t>воспитательные: воспитывать культуру безопасной разработки ПО (Secure Software Development), личную ответственность за конфиденциальность и целостность данных, нетерпимость к «наивному программированию» и склеиванию SQL-строк.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двухуровневую модель валидации (Frontend UX vs Backend/СУБД Data Integrity); освоить составление регулярных выражений с граничными якорями ^ и $ и алгоритмы контрольных сумм (ИНН-10); изучить физический принцип защиты Prepared Statements от SQL-инъекций; освоить коды стандарта SQLSTATE (классы 23, 40, P0) и архитектурный паттерн Error Mapping.</w:t>
              <w:br/>
              <w:t>развивающие: развивать системное инженерное мышление при проектировании отказоустойчивых интерфейсов; формировать навыки предупреждения коллизий конкурентных транзакций (Race Condition) и овербукинга с помощью блокировок SELECT FOR UPDATE.</w:t>
              <w:br/>
              <w:t>воспитательные: воспитывать культуру безопасной разработки ПО (Secure Software Development), личную ответственность за конфиденциальность и целостность данных, нетерпимость к «наивному программированию» и склеиванию SQL-строк.</w:t>
            </w:r>
          </w:p>
        </w:tc>
        <w:tc>
          <w:tcPr>
            <w:tcW w:w="1273" w:type="pct"/>
          </w:tcPr>
          <w:p>
            <w:r>
              <w:t>обучающие: изучить двухуровневую модель валидации (Frontend UX vs Backend/СУБД Data Integrity); освоить составление регулярных выражений с граничными якорями ^ и $ и алгоритмы контрольных сумм (ИНН-10); изучить физический принцип защиты Prepared Statements от SQL-инъекций; освоить коды стандарта SQLSTATE (классы 23, 40, P0) и архитектурный паттерн Error Mapping.</w:t>
              <w:br/>
              <w:t>развивающие: развивать системное инженерное мышление при проектировании отказоустойчивых интерфейсов; формировать навыки предупреждения коллизий конкурентных транзакций (Race Condition) и овербукинга с помощью блокировок SELECT FOR UPDATE.</w:t>
              <w:br/>
              <w:t>воспитательные: воспитывать культуру безопасной разработки ПО (Secure Software Development), личную ответственность за конфиденциальность и целостность данных, нетерпимость к «наивному программированию» и склеиванию SQL-строк.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архитектура эшелонированного контроля; правила составления регулярных выражений с якорями ^ и $; устройство Prepared Statements (фазы PREPARE и EXECUTE); коды стандарта SQLSTATE (23505, 23514, 23P01, P0001, 40001); паттерн Error Mapping.</w:t>
              <w:br/>
              <w:t>Умения: составлять клиентские валидаторы экранных форм; формулировать параметризованные запросы к СУБД; перехватывать системные исключения базы данных и транслировать их в понятные человеку экранные уведомления.</w:t>
              <w:br/>
              <w:t>Навыки: проектирование безопасных интерфейсов взаимодействия с реляционными СУБД.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локальный веб-комплект учебных материалов по занятию 24 (metodicheskiy_material.html, lekciya.html, prezentaciya.html, zanyatie.html, domashnee_zadanie.html), веб-браузер с поддержкой HTML5/ES6/LocalStorage, мультимедийный проектор.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доверия интерфейсу и уязвимости прямого вызова API (обход JS через curl).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отправка невалидных данных (amount = -50000) через консольную утилиту curl в обход клиентской формы и несанкционированное зачисление средств. Формулирует принцип Zero Trust к интерфейсу. Проводит фронтальный экспресс-опрос по ограничениям СУБД и транзакциям ACID.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решение проблемной задачи, анализируют уязвимость наивной валидации, отвечают на вопросы экспресс-опроса по ограничениям СУБД и рискам Race Condition.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теоретических знаний по эшелонированному контролю: регулярные выражения, Prepared Statements, триггеры BEFORE и коды SQLSTATE.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2–14): раскрывает разделение зон ответственности Frontend UX (мгновенный отклик, подсветка, блокировка кнопки Submit) vs Backend Integrity; объясняет синтаксис регулярных выражений и важность якорей ^ и $; рассматривает математический алгоритм проверки контрольного разряда ИНН-10; показывает уязвимость SQL Injection и физический барьер Prepared Statements (компиляция AST vs передача литералов); излагает серверные триггеры BEFORE и блокировку SELECT FOR UPDATE; объясняет классификацию кодов стандарта SQLSTATE (23505, 23514, 23P01, P0001, 40001) и проектирование безопасного маппинга ошибок.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презентации. Конспектируют схему потока валидации данных, разницу между фазами PREPARE и EXECUTE, таблицу кодов SQLSTATE и правила составления регулярных выражений с якорями.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эталона (12 мин / 10 мин): на экране в терминале psql запускает создание таблицы с уникальным ключом и ограничением CHECK; демонстрирует перехват ошибки unique_violation (23505) и check_violation (23514); показывает безопасное выполнение Prepared Statement с кавычками и точками с запятой; демонстрирует работу блокировки SELECT FOR UPDATE при параллельном списании баланса.</w:t>
            </w:r>
          </w:p>
        </w:tc>
        <w:tc>
          <w:tcPr>
            <w:tcW w:w="1864" w:type="pct"/>
            <w:gridSpan w:val="2"/>
          </w:tcPr>
          <w:p>
            <w:r>
              <w:t>Следят за демонстрацией преподавателя, сопоставляют реакцию СУБД с теоретической концепцией эшелонированной защиты, фиксируют правила трансляции технических ошибок СУБД в понятные человеку экранные уведомления.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проектирования интерфейсного контроля по 4 дифференцированным практическим сценариям.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работе в zanyatie.html, распределяет студентов по 4 вариантам (1: корпоративный клиент, ИНН/ОГРН и unique_violation; 2: банковский перевод, БИК/счет и блокировка списания; 3: онлайн-заказ, email/телефон и триггер остатков; 4: бронирование отеля, интервалы дат и EXCLUDE gist). Консультирует обучающихся, контролирует корректность регулярных выражений с якорями, формулирование параметризованных запросов и эргономику Error Mapping.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переключаются на назначенный вариант. Составляют регулярные выражения с якорями ^ и $, описывают алгоритмы клиентской валидации, составляют параметризованные запросы PREPARE и проектируют таблицы маппинга системных ошибок СУБД в пользовательские подсказки.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4-балльной рубрике и выдача резервного дистанционного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разбор типичных студенческих ошибок (забытые якоря в regex, вывод сырых технических ошибок СУБД наружу). Демонстрирует слайд 15 с веб-комиксом Bobby Tables (xkcd #327). Озвучивает оценки по критериальной рубрике (.rubrika.md), инструктирует по сохранению результатов в PDF и разъясняет условия сдачи резервного ДЗ (domashnee_zadanie.html).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 рубрики, анализируют мем Little Bobby Tables. Сохраняют результаты рабочего листа в LocalStorage/PDF, фиксируют условия выполнения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