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4. Проектирование структур баз данных — Организация интерфейса с пользователем: ввод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ОП.08 Основы проектирования баз данных, группа: ____________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Тема 4. Проектирование структур баз данных — Организация интерфейса с пользователем: ввод, Занятие №23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____________________________________________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Урок усвоения новых знаний (урок с объяснением теории)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технологии, технология проблемного обучения, кейс-метод, развивающее обучение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теоретические знания и проектные умения в области организации интерфейса пользователя для ввода данных в реляционные БД: изучение n-уровневой архитектуры и паттерна MVC, освоение механизмов Data Binding, проектирование сопряжения элементов экранных форм (Masked Input, Combobox/Select, RadioGroup, Checkbox, DatePicker, Master-Detail) с атрибутами таблиц и первичными/внешними ключами СУБД с соблюдением требований эргономики UI.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>
            <w:r>
              <w:t>обучающие</w:t>
            </w:r>
          </w:p>
        </w:tc>
        <w:tc>
          <w:tcPr>
            <w:tcW w:w="1246" w:type="pct"/>
            <w:gridSpan w:val="2"/>
          </w:tcPr>
          <w:p>
            <w:r>
              <w:t>развивающие</w:t>
            </w:r>
          </w:p>
        </w:tc>
        <w:tc>
          <w:tcPr>
            <w:tcW w:w="1273" w:type="pct"/>
          </w:tcPr>
          <w:p>
            <w: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 изучить принципы многоуровневой архитектуры приложения и паттерны UI (MVC, MVP, MVVM); освоить концепцию связывания данных (Data Binding); изучить правила маппинга элементов формы на атрибуты таблиц (Input с масками, Select для внешних ключей, RadioGroup для ENUM/CHECK, Checkbox для BOOLEAN, DatePicker в ISO 8601); освоить компоновку форм Master-Detail и их сохранение в неделимой транзакции; изучить правила эргономики экранных форм и двухуровневую валидацию.</w:t>
            </w:r>
          </w:p>
        </w:tc>
        <w:tc>
          <w:tcPr>
            <w:tcW w:w="1246" w:type="pct"/>
            <w:gridSpan w:val="2"/>
          </w:tcPr>
          <w:p>
            <w:r>
              <w:t>развивающие: развивать алгоритмическое и логическое мышление при конструировании сложных предикатов, аналитические способности по выявлению скрытых конфликтов и логических тупиков в схемах реляционных баз данных;</w:t>
            </w:r>
          </w:p>
        </w:tc>
        <w:tc>
          <w:tcPr>
            <w:tcW w:w="1273" w:type="pct"/>
          </w:tcPr>
          <w:p>
            <w:r>
              <w:t>воспитательные: содействовать формированию профессиональной ответственности за архитектурную надежность и транзакционную достоверность баз данных.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Знания: архитектурные слои приложения (View -&gt; Controller -&gt; DAO -&gt; DB); паттерны MVC и механизмы Data Binding; соответствие компонентов ввода типам данных СУБД; принципы компоновки Master-Detail и правила эргономики UI. Умения: проектировать схемы экранных форм ввода; составлять матрицы маппинга полей на атрибуты БД; разделять Display Member и Value Member для внешних ключей; формулировать транзакционные блоки DTO для сохранения Master-Detail; настраивать клиентскую и серверную валидацию.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обучающихся, интерактивные веб-материалы (интерактивный рабочий лист zanyatie.html, презентация prezentaciya.html, теоретический конспект lekciya.html, методическое руководство metodicheskiy_material.html, критериальная рубрика .rubrika.md, резервное задание domashnee_zadanie.html), мультимедийный проектор, экран.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Цель: мотивация к изучению темы, актуализация проблемы овербукинга при параллельных запросах, проверка базовых понятий ограничений целостности.</w:t>
            </w:r>
          </w:p>
        </w:tc>
        <w:tc>
          <w:tcPr>
            <w:tcW w:w="1859" w:type="pct"/>
            <w:gridSpan w:val="2"/>
          </w:tcPr>
          <w:p>
            <w:r>
              <w:t>Длительность: 13 мин (80 мин) / 8 мин (60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явку. Ставит мотивационный кейс: сбой корпоративной учетной системы из-за свободного текстового ввода данных операторами. Проводит фронтальный экспресс-опрос по первичным и внешним ключам (PRIMARY KEY, FOREIGN KEY) и ссылочной целостности.</w:t>
            </w:r>
          </w:p>
        </w:tc>
        <w:tc>
          <w:tcPr>
            <w:tcW w:w="1864" w:type="pct"/>
            <w:gridSpan w:val="2"/>
          </w:tcPr>
          <w:p>
            <w:r>
              <w:t>Приветствуют преподавателя, организуют рабочие места. Включаются в обсуждение кейса искажения аналитики при ручном вводе, отвечают на вопросы блиц-опроса, осознают необходимость интерфейсных ограничений.</w:t>
            </w:r>
          </w:p>
        </w:tc>
        <w:tc>
          <w:tcPr>
            <w:tcW w:w="1859" w:type="pct"/>
            <w:gridSpan w:val="2"/>
          </w:tcPr>
          <w:p>
            <w:r>
              <w:t>ОК 01, ОК 02, ОК 04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Цель: формирование системы теоретических знаний о доменных ограничениях, регулярных выражениях в CHECK, интервалах tsrange, EXCLUDE USING gist и транзакционной отложенности DEFERRABLE.</w:t>
            </w:r>
          </w:p>
        </w:tc>
        <w:tc>
          <w:tcPr>
            <w:tcW w:w="1859" w:type="pct"/>
            <w:gridSpan w:val="2"/>
          </w:tcPr>
          <w:p>
            <w:r>
              <w:t>Длительность: 32 мин (80 мин) / 27 мин (60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интерактивную презентацию (слайды 2–14): раскрывает n-уровневую архитектуру (View -&gt; Controller -&gt; DAO -&gt; DB); объясняет недопустимость прямого SQL из клиента; вводит понятия MVC и Data Binding; анализирует сопряжение элементов формы (Masked Input, Combobox, RadioGroup, Checkbox, DatePicker) с колонками БД; рассматривает компоновку Master-Detail и двухуровневую валидацию.</w:t>
            </w:r>
          </w:p>
        </w:tc>
        <w:tc>
          <w:tcPr>
            <w:tcW w:w="1864" w:type="pct"/>
            <w:gridSpan w:val="2"/>
          </w:tcPr>
          <w:p>
            <w:r>
              <w:t>Слушают лекцию преподавателя, анализируют слайды презентации, конспектируют ключевые определения, структуры DDL и синтаксические шаблоны ограничений.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>
            <w:r>
              <w:t>Демонстрация сквозного инженерного кейса (12 мин / 10 мин): на проекторе разбирает экранную форму оптового заказа (Master-Detail); показывает структуру полей шапки, строки спецификации и формирование компактного JSON DTO; демонстрирует атомарный блок сохранения BEGIN; INSERT INTO orders ... INSERT INTO order_items ... COMMIT; с защитой от двойного клика.</w:t>
            </w:r>
          </w:p>
        </w:tc>
        <w:tc>
          <w:tcPr>
            <w:tcW w:w="1864" w:type="pct"/>
            <w:gridSpan w:val="2"/>
          </w:tcPr>
          <w:p>
            <w:r>
              <w:t>Следят за логикой рассуждений преподавателя, сопоставляют реакцию СУБД с теоретическими положениями, фиксируют наглядные алгоритмы предотвращения аномалий.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Цель: первичное закрепление знаний и отработка навыков проектирования сложных ограничений целостности в интерактивном рабочем листе zanyatie.html.</w:t>
            </w:r>
          </w:p>
        </w:tc>
        <w:tc>
          <w:tcPr>
            <w:tcW w:w="1859" w:type="pct"/>
            <w:gridSpan w:val="2"/>
          </w:tcPr>
          <w:p>
            <w:r>
              <w:t>Длительность: 15 мин (80 мин) / 11 мин (60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Инструктирует по работе в zanyatie.html, распределяет студентов по 4 вариантам (1: CRM заказ Master-Detail; 2: путевой лист АТП; 3: госпитализация в стационар; 4: заявка IT Service Desk). Консультирует обучающихся, контролирует соблюдение эргономики UI и правильность маппинга полей на атрибуты БД.</w:t>
            </w:r>
          </w:p>
        </w:tc>
        <w:tc>
          <w:tcPr>
            <w:tcW w:w="1864" w:type="pct"/>
            <w:gridSpan w:val="2"/>
          </w:tcPr>
          <w:p>
            <w:r>
              <w:t>Открывают рабочий лист zanyatie.html, вводят ФИО и группу, выбирают вариант; выполняют проектирование экранной формы ввода, составляют матрицу маппинга элементов на атрибуты БД, настраивают правила валидации и отвечают на вопросы самопроверки.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 w14:paraId="49F2C78B" w14:textId="77777777" w:rsidR="001450AF" w:rsidRPr="00EA062D" w:rsidRDefault="00BD6ACF" w:rsidP="00C97F83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Цель: экспертный анализ типичных ошибок, рефлексия, оценивание по критериальной рубрике, разъяснение регламента резервного домашнего задания.</w:t>
            </w:r>
          </w:p>
        </w:tc>
        <w:tc>
          <w:tcPr>
            <w:tcW w:w="1859" w:type="pct"/>
            <w:gridSpan w:val="2"/>
          </w:tcPr>
          <w:p>
            <w:r>
              <w:t>Длительность: 8 мин (80 мин) / 4 мин (60 мин)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разбор типичных студенческих ошибок (сохранение текста вместо FK ID, отсутствие транзакционности в Master-Detail). Демонстрирует слайд 15 с веб-комиксом Bobby Tables (xkcd #327). Озвучивает оценки по рубрике (.rubrika.md), инструктирует по сохранению страницы в PDF и разъясняет условия сдачи резервного ДЗ (domashnee_zadanie.html).</w:t>
            </w:r>
          </w:p>
        </w:tc>
        <w:tc>
          <w:tcPr>
            <w:tcW w:w="1864" w:type="pct"/>
            <w:gridSpan w:val="2"/>
          </w:tcPr>
          <w:p>
            <w:r>
              <w:t>Участвуют в рефлексивной дискуссии, сопоставляют решения с эталонами, устраняют неточности; знакомятся с содержанием резервного домашнего задания.</w:t>
            </w:r>
          </w:p>
        </w:tc>
        <w:tc>
          <w:tcPr>
            <w:tcW w:w="1859" w:type="pct"/>
            <w:gridSpan w:val="2"/>
          </w:tcPr>
          <w:p>
            <w:r>
              <w:t>ОК 01, ОК 02, ПК 1.5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