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3. Этапы проектирования баз данных — Практическое занятие №6: ключевые поля, индексы, связи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ОП.08 Основы проектирования баз данных, группа: ____________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Тема 3. Этапы проектирования баз данных — Практическое занятие №6: ключевые поля, индексы, связи, Занятие №18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____________________________________________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(урок с объяснением теории)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технология проблемного обучения, развивающее обучение, кейс-метод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практические навыки проектирования ключевых полей, связей и физических индексов в реляционных базах данных: освоение алгоритма поиска по сбалансированному дереву B-Tree, проектирование уникальных и составных индексов с учетом правила левого префикса, обязательная индексация внешних ключей (FK) для устранения Seq Scan при JOIN и предотвращения каскадных блокировок, анализ накладных расходов DML и чтение планов запросов EXPLAIN.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>
            <w:r>
              <w:t>обучающие</w:t>
            </w:r>
          </w:p>
        </w:tc>
        <w:tc>
          <w:tcPr>
            <w:tcW w:w="1246" w:type="pct"/>
            <w:gridSpan w:val="2"/>
          </w:tcPr>
          <w:p>
            <w:r>
              <w:t>развивающие</w:t>
            </w:r>
          </w:p>
        </w:tc>
        <w:tc>
          <w:tcPr>
            <w:tcW w:w="1273" w:type="pct"/>
          </w:tcPr>
          <w:p>
            <w: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обучающие: изучить физическую структуру сбалансированного дерева B-Tree; освоить проектирование уникальных и неуникальных индексов; освоить составные индексы и правило левого префикса; научиться обязательно индексировать внешние ключи (FK) для ускорения JOIN и предотвращения блокировок; изучить накладные расходы DML при вставке и обновлении; освоить частичные индексы (Partial Index) и чтение планов EXPLAIN;</w:t>
              <w:br/>
              <w:t>развивающие: развивать системное инженерное мышление и способность оценивать производительность запросов по метрикам стоимости и чтения диска;</w:t>
              <w:br/>
              <w:t>воспитательные: формировать культуру строгого проектирования структур данных и ответственности за быстродействие и стабильность СУБД.</w:t>
            </w:r>
          </w:p>
        </w:tc>
        <w:tc>
          <w:tcPr>
            <w:tcW w:w="1246" w:type="pct"/>
            <w:gridSpan w:val="2"/>
          </w:tcPr>
          <w:p>
            <w:r>
              <w:t>развивающие: развивать математическую строгость и аналитическое мышление при оценке качества связей декомпозированных схем; формировать навыки выявления паразитных кортежей на числовых контрпримерах;</w:t>
            </w:r>
          </w:p>
        </w:tc>
        <w:tc>
          <w:tcPr>
            <w:tcW w:w="1273" w:type="pct"/>
          </w:tcPr>
          <w:p>
            <w:r>
              <w:t>воспитательные: содействовать формированию профессиональной ответственности за архитектурную надежность и транзакционную достоверность баз данных.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назначение и устройство B-Tree индекса; отличия уникальных и неуникальных индексов; правило левого префикса в составных индексах; золотое правило порядка полей (равенство -&gt; диапазон -&gt; сортировка); причины каскадных блокировок при неиндексированных FK; влияние индексов на скорость чтения vs накладные расходы DML; базовые типы узлов EXPLAIN (Seq Scan, Index Scan, Index Only Scan).</w:t>
              <w:br/>
              <w:t>Умения: создавать первичные и внешние ключи; проектировать и создавать индексы с помощью SQL (CREATE INDEX, CREATE UNIQUE INDEX); рассчитывать селективность колонок; оптимизировать сложные выборки составными индексами; находить узкие места по планам EXPLAIN.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интерактивные веб-материалы (интерактивный рабочий лист zanyatie.html, презентация prezentaciya.html, теоретический конспект lekciya.html, критериальная рубрика .rubrika.md), мультимедийный проектор, экран.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мотивация к изучению темы, актуализация проблемы генерации ложных кортежей, проверка базовых понятий функциональных зависимостей и ключей.</w:t>
            </w:r>
          </w:p>
        </w:tc>
        <w:tc>
          <w:tcPr>
            <w:tcW w:w="1859" w:type="pct"/>
            <w:gridSpan w:val="2"/>
          </w:tcPr>
          <w:p>
            <w:r>
              <w:t>Длительность: 13 мин (80 мин) / 8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обучающихся, отмечает явку. Ставит мотивационный кейс: сбой маркетплейса при формировании заказов из-за соединения таблиц по неключевому полю Город (появление чужих товаров и ложные списания денег). Организует фронтальный блиц-опрос по 1НФ–3НФ, НФБК, функциональным зависимостям и суперключам.</w:t>
            </w:r>
          </w:p>
        </w:tc>
        <w:tc>
          <w:tcPr>
            <w:tcW w:w="1864" w:type="pct"/>
            <w:gridSpan w:val="2"/>
          </w:tcPr>
          <w:p>
            <w:r>
              <w:t>Приветствуют преподавателя, организуют рабочие места. Включаются в обсуждение кейса искажения учетных данных. Отвечают на вопросы по ФЗ и ключам, осознают необходимость проверки связей декомпозированных таблиц.</w:t>
            </w:r>
          </w:p>
        </w:tc>
        <w:tc>
          <w:tcPr>
            <w:tcW w:w="1859" w:type="pct"/>
            <w:gridSpan w:val="2"/>
          </w:tcPr>
          <w:p>
            <w:r>
              <w:t>ОК 01, ОК 02, ОК 04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формирование системы знаний о соединении без потерь, теореме Риссанена, табло, сохранении ФЗ, многозначных зависимостях (4НФ), JD (5НФ) и денормализации в OLAP.</w:t>
            </w:r>
          </w:p>
        </w:tc>
        <w:tc>
          <w:tcPr>
            <w:tcW w:w="1859" w:type="pct"/>
            <w:gridSpan w:val="2"/>
          </w:tcPr>
          <w:p>
            <w:r>
              <w:t>Длительность: 32 мин (80 мин) / 27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интерактивную презентацию prezentaciya.html (слайды 2–12): устройство дерева B-Tree, составные индексы, правило левого префикса, накладные расходы при вставке и обновлении, обязательная индексация FK, частичные индексы (Partial Index).</w:t>
            </w:r>
          </w:p>
        </w:tc>
        <w:tc>
          <w:tcPr>
            <w:tcW w:w="1864" w:type="pct"/>
            <w:gridSpan w:val="2"/>
          </w:tcPr>
          <w:p>
            <w:r>
              <w:t>Слушают лекцию преподавателя, анализируют слайды презентации, конспектируют теорему Риссанена, шаги алгоритма табло и определение многозначной зависимости; задают вопросы по компенсирующим механизмам денормализации.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>
            <w:r>
              <w:t>Демонстрирует на экране план выполнения EXPLAIN ANALYZE до и после создания составного индекса (Seq Scan vs Index Scan), разбирает кейс каскадной блокировки таблицы при удалении родительской записи без индекса на FK.</w:t>
            </w:r>
          </w:p>
        </w:tc>
        <w:tc>
          <w:tcPr>
            <w:tcW w:w="1864" w:type="pct"/>
            <w:gridSpan w:val="2"/>
          </w:tcPr>
          <w:p>
            <w:r>
              <w:t>Следят за логикой рассуждений преподавателя, сопоставляют промежуточные действия с формулой Риссанена, фиксируют наглядную таблицу с ложными кортежами и итоговую матрицу табло.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первичное закрепление знаний и отработка навыков аналитической проверки декомпозиции и связей в интерактивном рабочем листе zanyatie.html.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(80 мин) / 11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Инструктирует по выполнению практических кейсов в zanyatie.html по 4 вариантам (Банкинг, Биллинг связи, Недвижимость, Логистика), консультирует по формулировке DDL-команд и обоснованию селективности.</w:t>
            </w:r>
          </w:p>
        </w:tc>
        <w:tc>
          <w:tcPr>
            <w:tcW w:w="1864" w:type="pct"/>
            <w:gridSpan w:val="2"/>
          </w:tcPr>
          <w:p>
            <w:r>
              <w:t>Открывают рабочий лист zanyatie.html, вводят ФИО и группу, выбирают вариант; выполняют математические доказательства по Риссанену, рассчитывают ложные кортежи или MVD, проектируют компенсирующие триггеры, отвечают на блок самопроверки.</w:t>
            </w:r>
          </w:p>
        </w:tc>
        <w:tc>
          <w:tcPr>
            <w:tcW w:w="1859" w:type="pct"/>
            <w:gridSpan w:val="2"/>
          </w:tcPr>
          <w:p>
            <w:r>
              <w:t>ПК 1.1, ПК 1.2, ПК 1.5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экспертный анализ типичных ошибок, рефлексия, оценивание по критериальной рубрике, разъяснение регламента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Длительность: 8 мин (80 мин) / 4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экспертный разбор типичных ошибок (попытка индексировать все поля подряд, постановка диапазона перед равенством в составном индексе, пропуск индекса на FK), демонстрирует слайд 15 с мемом Little Bobby Tables (xkcd #327), выставляет оценки по рубрике .rubrika.md.</w:t>
            </w:r>
          </w:p>
        </w:tc>
        <w:tc>
          <w:tcPr>
            <w:tcW w:w="1864" w:type="pct"/>
            <w:gridSpan w:val="2"/>
          </w:tcPr>
          <w:p>
            <w:r>
              <w:t>Участвуют в рефлексивной дискуссии, сопоставляют решения с эталонами, устраняют неточности. Сохраняют работу в браузере и экспортируют в PDF. Фиксируют условия и регламент сдачи резервного домашнего задания.</w:t>
            </w:r>
          </w:p>
        </w:tc>
        <w:tc>
          <w:tcPr>
            <w:tcW w:w="1859" w:type="pct"/>
            <w:gridSpan w:val="2"/>
          </w:tcPr>
          <w:p>
            <w:r>
              <w:t>ОК 01, ОК 02, ПК 1.5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