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Концептуальное проектирование БД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3. Этапы проектирования баз данных — Концептуальное проектирование БД, Занятие №14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Урок усвоения новых знаний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базовые практические умения в области концептуального инфологического моделирования баз данных: освоение стратегий проектирования, вербализация требований пользователей, построение локальных представлений (User Views) и их интеграция в глобальную концептуальную модель с выявлением и разрешением именных, структурных конфликтов и конфликтов ограничений.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воспитательные</w:t>
            </w:r>
          </w:p>
        </w:tc>
        <w:tc>
          <w:tcPr>
            <w:tcW w:w="1273" w:type="pct"/>
          </w:tcPr>
          <w:p>
            <w:r>
              <w:t>комплексные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место инфологического уровня в ANSI/SPARC; освоить 4 стратегии проектирования (Top-Down, Bottom-Up, Mixed); освоить сбор требований и правила вербализации; изучить архитектуру User Views; освоить классификацию и методы разрешения конфликтов интеграции (синонимы, омонимы, сущность vs атрибут, кардинальности связей, ограничения целостности);</w:t>
            </w:r>
          </w:p>
        </w:tc>
        <w:tc>
          <w:tcPr>
            <w:tcW w:w="1246" w:type="pct"/>
            <w:gridSpan w:val="2"/>
          </w:tcPr>
          <w:p>
            <w:r>
              <w:t>воспитательные: содействовать формированию профессиональной ответственности за архитектурную надежность и непротиворечивость концептуальных моделей корпоративных баз данных;</w:t>
            </w:r>
          </w:p>
        </w:tc>
        <w:tc>
          <w:tcPr>
            <w:tcW w:w="1273" w:type="pct"/>
          </w:tcPr>
          <w:p>
            <w:r>
              <w:t>комплексные: связать теоретические основы концептуального моделирования с задачами практической интеграции неоднородных данных подразделений предприятия.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классификация стратегий проектирования БД; правила вербализации требований; архитектура User Views; типы конфликтов интеграции и алгоритмы их устранения. Умения: проводить семантический анализ ТЗ; строить локальные концептуальные схемы; выявлять синонимы и омонимы; разрешать конфликты сущность vs атрибут; согласовывать кардинальности связей в глобальной ER-модели. Компетенции: ОК 01, ОК 02, ОК 04, ПК 1.1, ПК 1.2, 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критериальная рубрика .rubrika.md),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несогласованности данных, проверка базовых понятий ANSI/SPARC и ER.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проблемный кейс: конфликт между базами Склада и Бухгалтерии при попытке интеграции в ERP, приведший к срыву сроков проекта. Организует фронтальный блиц-опрос по модели ANSI/SPARC и базовым элементам ER (сущность, атрибут, кардинальность).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анализируют производственный кейс, отвечают на вопросы по трехуровневой архитектуре БД, осознают необходимость концептуального этапа проектирования.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знаний о стратегиях проектирования, вербализации требований, архитектуре User Views и алгоритмах разрешения конфликтов интеграции.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2–13): излагает стратегии проектирования (Top-Down, Bottom-Up, Mixed), методику вербализации требований, структуру User Views, классификацию конфликтов (синонимы, омонимы, сущность vs атрибут vs связь, кардинальности, ограничения целостности).</w:t>
            </w:r>
          </w:p>
        </w:tc>
        <w:tc>
          <w:tcPr>
            <w:tcW w:w="1864" w:type="pct"/>
            <w:gridSpan w:val="2"/>
          </w:tcPr>
          <w:p>
            <w:r>
              <w:t>Слушают лекцию, анализируют схемы и таблицы презентации, конспектируют классификацию конфликтов интеграции и алгоритмы их устранения, задают вопросы.</w:t>
            </w:r>
          </w:p>
        </w:tc>
        <w:tc>
          <w:tcPr>
            <w:tcW w:w="1859" w:type="pct"/>
            <w:gridSpan w:val="2"/>
          </w:tcPr>
          <w:p>
            <w:r>
              <w:t>ОК 01, ОК 02, ОК 04, ПК 1.1, ПК 1.2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сквозного эталона (12 мин / 10 мин): на экране показывает пошаговое объединение локальных моделей Отдела продаж и Склада: выявление синонима Товар/Номенклатура, квалификация омонима Код, преобразование связи M:N в ассоциативную сущность.</w:t>
            </w:r>
          </w:p>
        </w:tc>
        <w:tc>
          <w:tcPr>
            <w:tcW w:w="1864" w:type="pct"/>
            <w:gridSpan w:val="2"/>
          </w:tcPr>
          <w:p>
            <w:r>
              <w:t>Следят за действиями преподавателя, анализируют логику выявления коллизий, фиксируют результирующую ER-диаграмму.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и отработка навыков интеграции локальных моделей и устранения коллизий в интерактивном листе.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работы в zanyatie.html, распределяет варианты (1: Торговля, 2: Гостиница, 3: Университет, 4: Автопредприятие). Консультирует обучающихся, контролирует корректность разрешения конфликтов синонимии/омонимии и сохранение данных в браузере.</w:t>
            </w:r>
          </w:p>
        </w:tc>
        <w:tc>
          <w:tcPr>
            <w:tcW w:w="1864" w:type="pct"/>
            <w:gridSpan w:val="2"/>
          </w:tcPr>
          <w:p>
            <w:r>
              <w:t>Открывают zanyatie.html, вводят данные, выбирают вариант; выполняют сопоставление атрибутов, формируют канонические сущности, устраняют структурные конфликты, формулируют ответы на вопросы самопроверки.</w:t>
            </w:r>
          </w:p>
        </w:tc>
        <w:tc>
          <w:tcPr>
            <w:tcW w:w="1859" w:type="pct"/>
            <w:gridSpan w:val="2"/>
          </w:tcPr>
          <w:p>
            <w:r>
              <w:t>ОК 01, ОК 02, 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ошибок, рефлексия, оценивание,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типичных ошибок (поспешный переход к типам SQL, слияние омонимов, потеря атрибутов при синонимии). Демонстрирует слайд 15 с веб-комиксом Bobby Tables (xkcd #327), напоминающим о культуре проектирования. Выставляет оценки по рубрике (.rubrika.md), дает инструктаж по сохранению PDF и резервному ДЗ (domashnee_zadanie.html).</w:t>
            </w:r>
          </w:p>
        </w:tc>
        <w:tc>
          <w:tcPr>
            <w:tcW w:w="1864" w:type="pct"/>
            <w:gridSpan w:val="2"/>
          </w:tcPr>
          <w:p>
            <w:r>
              <w:t>Анализируют замечания, исправляют неточности в решениях, сохраняют форму в локальном хранилище и генерируют PDF-отчет; фиксируют условия и критерии сдачи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