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наименование темы</w:t>
              <w:br/>
              <w:t>Тема 2. Взаимосвязи в моделях и реляционный подход к построению моделей — Реляционная модель данных: таблицы и ограничения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специальность 09.02.06 Сетевое и системное администрирование, группа: ________________________ [уточняется преподавателем]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Основные этапы проектирования БД, занятие №13 по теме «Тема 3. Этапы проектирования баз данных» (§2.2 с.7 программы)</w:t>
            </w:r>
          </w:p>
        </w:tc>
        <w:tc>
          <w:tcPr>
            <w:tcW w:w="3723" w:type="pct"/>
            <w:gridSpan w:val="4"/>
          </w:tcPr>
          <w:p>
            <w:r>
              <w:t>Реляционная модель данных: таблицы и ограничения, занятие №7 по теме «Тема 2. Взаимосвязи в моделях и реляционный подход к построению моделей» (§2.2 с.7 программы)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 [указывается преподавателем]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Урок с объяснением теории с формированием представлений о полном жизненном цикле проектирования баз данных (80 мин основной регламент / 60 мин сокращенный)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формированием практических навыков реляционного проектирования схем и ограничений целостности (80 мин основной регламент / 60 мин сокращенный)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>
            <w: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информационно-коммуникационные технологии, кейс-метод, технология развивающего обучения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Сформировать у обучающихся целостную систему знаний о полном жизненном цикле проектирования баз данных (DBLC), уровнях абстракции ANSI/SPARC, входных документах, выходных артефактах и критериях перехода между этапами (Quality Gates)</w:t>
            </w:r>
          </w:p>
        </w:tc>
        <w:tc>
          <w:tcPr>
            <w:tcW w:w="3723" w:type="pct"/>
            <w:gridSpan w:val="4"/>
          </w:tcPr>
          <w:p>
            <w:r>
              <w:t>Сформировать у обучающихся систему знаний о реляционной модели данных Эдгара Кодда (отношения, кортежи, атрибуты, домены, 1НФ), арности и кардинальности, а также умения проектировать связанные таблицы с тремя уровнями ограничений целостности (сущности, ссылочной и семантической)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изучить 5 этапов жизненного цикла базы данных (DBLC); освоить уровни абстракции ANSI/SPARC; изучить назначение и состав входных и выходных артефактов на этапах анализа, концептуального, логического и физического проектирования; усвоить понятия RPO и RTO;</w:t>
            </w:r>
          </w:p>
        </w:tc>
        <w:tc>
          <w:tcPr>
            <w:tcW w:w="1246" w:type="pct"/>
            <w:gridSpan w:val="2"/>
          </w:tcPr>
          <w:p>
            <w:r>
              <w:t>развить системное аналитическое мышление при декомпозиции предметной области; сформировать умение выявлять регуляторные и нефункциональные ограничения (152-ФЗ, SLA отклика, OLAP vs OLTP);</w:t>
            </w:r>
          </w:p>
        </w:tc>
        <w:tc>
          <w:tcPr>
            <w:tcW w:w="1273" w:type="pct"/>
          </w:tcPr>
          <w:p>
            <w:r>
              <w:t>воспитать профессиональную ответственность инженера за целостность данных, безопасность и бесперебойное функционирование корпоративных баз данных;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Знания (З 1-3): жизненный цикл базы данных (DBLC), трехуровневая архитектура ANSI/SPARC, методы сбора требований, специфика концептуального, логического и физического уровней, критерии перехода Quality Gates, основы администрирования (RPO/RTO). Умения (У 1): разрабатывать сквозную маршрутную карту проектирования БД, формализовать требования ТЗ, строить концептуальные схемы без привязки к СУБД, выбирать стратегии индексирования и партиционирования. Компетенции: ОК 01, ОК 02, ОК 04, ОК 09, ПК 1.1–ПК 1.5</w:t>
            </w:r>
          </w:p>
        </w:tc>
        <w:tc>
          <w:tcPr>
            <w:tcW w:w="3723" w:type="pct"/>
            <w:gridSpan w:val="4"/>
          </w:tcPr>
          <w:p>
            <w:r>
              <w:t>Знания (З 1-3): основы реляционной теории, понятия отношения, кортежа, атрибута, домена, арности и мощности, 4 свойства отношений, виды целостности (PK, FK, CHECK). Умения (У 1): проектировать схемы двух связанных таблиц, определять первичные и внешние ключи, настраивать правила ON DELETE (RESTRICT/CASCADE), формулировать ограничения CHECK. Компетенции: ОК 01, ОК 02, ОК 04, ОК 09, ПК 1.1–ПК 1.5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Персональные компьютеры обучающихся, проектор / интерактивная панель, интерактивная презентация (15 слайдов с интернет-мемом Bobby Tables xkcd #327), интерактивный рабочий лист zanyatie.html, закрытая критериальная рубрика оценивания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проектор / интерактивная панель, презентация (15 слайдов с интернет-мемом Bobby Tables xkcd #327), интерактивный рабочий лист zanyatie.html, закрытая критериальная рубрика оценивания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Организационный и мотивационный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4 мин (60 мин)</w:t>
              <w:br/>
              <w:t>Цель: Активизация внимания, формулирование проблемной ситуации («строительство здания без фундамента и чертежей»), постановка цели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формулирует проблемную ситуацию: «Почему в промышленной разработке попытка сразу писать SQL-скрипты DDL и создавать таблицы приводит к катастрофическим убыткам и переписыванию системы с нуля?». Озвучивает тему, структуру занятия и 4-балльный регламент оценивания.</w:t>
            </w:r>
          </w:p>
        </w:tc>
        <w:tc>
          <w:tcPr>
            <w:tcW w:w="1864" w:type="pct"/>
            <w:gridSpan w:val="2"/>
          </w:tcPr>
          <w:p>
            <w:r>
              <w:t>ОК 01, ОК 02</w:t>
              <w:br/>
              <w:t>Включаются в диалог, осмысливают проблемную ситуацию, высказывают предположения о рисках стихийного создания таблиц, готовят рабочие места.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Актуализация опорных знаний и 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45 мин (80 мин) / 33 мин (60 мин)</w:t>
              <w:br/>
              <w:t>Цель: Актуализация понятий ANSI/SPARC, глубокое системное освоение 5 этапов DBLC, артефактов и Quality Gates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теоретический материал с опорой на презентацию (слайды 1-14): концепция DBLC; архитектура ANSI/SPARC; этап 1 — системный анализ, первичная документация, интервью, ТЗ и SLA; этап 2 — концептуальное проектирование, независимость от СУБД, ER-диаграммы (Chen, Crow's Foot); этап 3 — логическое проектирование, реляционные отношения, 3НФ, осознанная денормализация в OLAP/DWH («Звезда», «Снежинка»); этап 4 — физическое проектирование, выбор СУБД, DDL, типы данных, B-Tree и GiST-индексы, партиционирование, шифрование TDE, аудит доступа (152-ФЗ); этап 5 — эксплуатация, администрирование, регламент бэкапов (RPO, RTO), репликация.</w:t>
            </w:r>
          </w:p>
        </w:tc>
        <w:tc>
          <w:tcPr>
            <w:tcW w:w="1864" w:type="pct"/>
            <w:gridSpan w:val="2"/>
          </w:tcPr>
          <w:p>
            <w:r>
              <w:t>ОК 01, ОК 02, ОК 09, ПК 1.1–ПК 1.5</w:t>
              <w:br/>
              <w:t>Слушают объяснение, ведут структурированный конспект с блок-схемой DBLC, фиксируют ключевые документы и артефакты каждого этапа, анализируют различия логического и физического уровней.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25 мин (80 мин) / 19 мин (60 мин)</w:t>
              <w:br/>
              <w:t>Цель: Анализ культового кейса Bobby Tables, практическая разработка дорожной карты DBLC по 4 отраслевым вариантам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слайд 15 интерактивной презентации с комиксом xkcd #327 (Bobby Tables), организует дискуссию об ответственности проектировщика за ограничения доменов. Организует самостоятельную работу в рабочем листе zanyatie.html по 4 отраслевым вариантам (Аптечная сеть, Каршеринг, Маркетплейс OLAP, Медицинская клиника по 152-ФЗ). Оказывает индивидуальные консультации.</w:t>
            </w:r>
          </w:p>
        </w:tc>
        <w:tc>
          <w:tcPr>
            <w:tcW w:w="1864" w:type="pct"/>
            <w:gridSpan w:val="2"/>
          </w:tcPr>
          <w:p>
            <w:r>
              <w:t>ОК 01, ОК 02, ОК 04, ОК 09, ПК 1.1–ПК 1.5</w:t>
              <w:br/>
              <w:t>Анализируют мем и механизм сбоя через этапы DBLC. В интерактивном рабочем листе специфицируют 5 этапов жизненного цикла базы данных, входы, выходы и дают ответы на отраслевые контрольные вопросы. Сохраняют данные в LocalStorage.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4 мин (60 мин)</w:t>
              <w:br/>
              <w:t>Цель: Подведение итогов, самооценка по 4-балльной рубрике, инструктаж по резервному заданию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подведение итогов по 4 вариантам отраслевых дорожных карт. Сопоставляет решения с закрытой критериальной рубрикой (.rubrika.md), анализирует ошибки технологического фальстарта. Разъясняет статус резервного дистанционного задания domashnee_zadanie.html.</w:t>
            </w:r>
          </w:p>
        </w:tc>
        <w:tc>
          <w:tcPr>
            <w:tcW w:w="1864" w:type="pct"/>
            <w:gridSpan w:val="2"/>
          </w:tcPr>
          <w:p>
            <w:r>
              <w:t>ОК 01, ОК 02, ОК 04</w:t>
              <w:br/>
              <w:t>Участвуют в обобщении выводов, проводят самооценку по критериям рубрики, фиксируют разъяснения по резервному дистанционному заданию.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