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2. Взаимосвязи в моделях и реляционный подход к построению моделей — Практическое занятие №3: сущности и связи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>
            <w:r>
              <w:t>Тема 2. Взаимосвязи в моделях и реляционный подход к построению моделей — Практическое занятие №3: сущности и связи, Занятие №11</w:t>
            </w:r>
          </w:p>
        </w:tc>
        <w:tc>
          <w:tcPr>
            <w:tcW w:w="3723" w:type="pct"/>
            <w:gridSpan w:val="4"/>
          </w:tcPr>
          <w:p>
            <w:r>
              <w:t>Тема 2. Взаимосвязи в моделях и реляционный подход к построению моделей — Практическое занятие №3: сущности и связи, Занятие №11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>
            <w:r>
              <w:t>Практическое занятие</w:t>
            </w:r>
          </w:p>
        </w:tc>
        <w:tc>
          <w:tcPr>
            <w:tcW w:w="3723" w:type="pct"/>
            <w:gridSpan w:val="4"/>
          </w:tcPr>
          <w:p>
            <w:r>
              <w:t>Комбинированный урок (изучение нового материала с практическим закреплением)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>
            <w:r>
              <w:t>Сформировать у обучающихся практические навыки преобразования концептуальных сущностей и бинарных связей (1:1, 1:M, M:N) в реляционную структуру таблиц, проектирования промежуточных ассоциативных таблиц с составными первичными ключами, атрибутами связи и настройки ссылочной целостности.</w:t>
            </w:r>
          </w:p>
        </w:tc>
        <w:tc>
          <w:tcPr>
            <w:tcW w:w="3723" w:type="pct"/>
            <w:gridSpan w:val="4"/>
          </w:tcPr>
          <w:p>
            <w:r>
              <w:t>Сформировать у обучающихся практические навыки преобразования концептуальных сущностей и бинарных связей (1:1, 1:M, M:N) в реляционную структуру таблиц, проектирования промежуточных ассоциативных таблиц с составными первичными ключами, атрибутами связи и настройки ссылочной целостности.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>
            <w: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освоить правила трансляции сильных и слабых сущностей в таблицы, алгоритм миграции внешних ключей в связях 1:M, механизм декомпозиции связей M:N через ассоциативные таблицы, правила выбора каскадных действий (RESTRICT, CASCADE, SET NULL); развивающие: развивать аналитическое мышление при выделении сущностей и атрибутов взаимодействия, навыки предотвращения аномалий данных в реляционных схемах; воспитательные: воспитывать профессиональную ответственность за архитектурную чистоту структуры баз данных и сохранность исторических данных организации.</w:t>
            </w:r>
          </w:p>
        </w:tc>
        <w:tc>
          <w:tcPr>
            <w:tcW w:w="1246" w:type="pct"/>
            <w:gridSpan w:val="2"/>
          </w:tcPr>
          <w:p>
            <w:r>
              <w:t>развивающие (доп): развивать инженерный самоконтроль при проверке темпоральных, ресурсных и балансовых ограничений модели.</w:t>
            </w:r>
          </w:p>
        </w:tc>
        <w:tc>
          <w:tcPr>
            <w:tcW w:w="1273" w:type="pct"/>
          </w:tcPr>
          <w:p>
            <w:r>
              <w:t>воспитательные: формировать ответственность за целостность проектируемых структур данных и следование отраслевым стандартам реляционного моделирования.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>
            <w:r>
              <w:t>Знания: правила трансляции сильных и слабых сущностей, отображение связей 1:1, 1:M, M:N, структура связующих таблиц, правила ссылочной целостности (ON DELETE / UPDATE); Умения: преобразовывать ER-диаграммы в реляционные структуры таблиц, формировать составные первичные ключи и внешние ключи.</w:t>
            </w:r>
          </w:p>
        </w:tc>
        <w:tc>
          <w:tcPr>
            <w:tcW w:w="3723" w:type="pct"/>
            <w:gridSpan w:val="4"/>
          </w:tcPr>
          <w:p>
            <w:r>
              <w:t>Знания: правила трансляции сильных и слабых сущностей, отображение связей 1:1, 1:M, M:N, структура связующих таблиц, правила ссылочной целостности (ON DELETE / UPDATE); Умения: преобразовывать ER-диаграммы в реляционные структуры таблиц, формировать составные первичные ключи и внешние ключи.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>
            <w:r>
              <w:t>Персональные компьютеры обучающихся, интерактивные веб-материалы занятия, аудиторная маркерная доска, проектор.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занятия, аудиторная маркерная доска, проектор.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>
            <w:r>
              <w:t>Этап 1 Организационный момент и мотивация</w:t>
            </w:r>
          </w:p>
        </w:tc>
        <w:tc>
          <w:tcPr>
            <w:tcW w:w="1864" w:type="pct"/>
            <w:gridSpan w:val="2"/>
          </w:tcPr>
          <w:p>
            <w:r>
              <w:t>Цель: подготовка к восприятию темы, постановка проблемы декомпозиции связей многие-ко-многим</w:t>
            </w:r>
          </w:p>
        </w:tc>
        <w:tc>
          <w:tcPr>
            <w:tcW w:w="1859" w:type="pct"/>
            <w:gridSpan w:val="2"/>
          </w:tcPr>
          <w:p>
            <w:r>
              <w:t>Длительность: 7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проблемный вопрос о невозможности прямой физической реализации связей M:N в реляционных СУБД из-за правила атомарности (1NF). Оглашает шкалу оценивания (4 балла).</w:t>
            </w:r>
          </w:p>
        </w:tc>
        <w:tc>
          <w:tcPr>
            <w:tcW w:w="1864" w:type="pct"/>
            <w:gridSpan w:val="2"/>
          </w:tcPr>
          <w:p>
            <w:r>
              <w:t>Включаются в диалог, выдвигают гипотезы о нарушении 1NF и невозможности индексации массивов в ячейках, настраиваются на работу в zanyatie.html.</w:t>
            </w:r>
          </w:p>
        </w:tc>
        <w:tc>
          <w:tcPr>
            <w:tcW w:w="1859" w:type="pct"/>
            <w:gridSpan w:val="2"/>
          </w:tcPr>
          <w:p>
            <w:r>
              <w:t>ОК 01, ОК 02, ОК 05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>
            <w:r>
              <w:t>Этап 2 Вводный инструктаж и разбор эталона</w:t>
            </w:r>
          </w:p>
        </w:tc>
        <w:tc>
          <w:tcPr>
            <w:tcW w:w="1864" w:type="pct"/>
            <w:gridSpan w:val="2"/>
          </w:tcPr>
          <w:p>
            <w:r>
              <w:t>Цель: освоение принципов трансляции сущностей, связей 1:1, 1:M, M:N, составных ключей и каскадных политик</w:t>
            </w:r>
          </w:p>
        </w:tc>
        <w:tc>
          <w:tcPr>
            <w:tcW w:w="1859" w:type="pct"/>
            <w:gridSpan w:val="2"/>
          </w:tcPr>
          <w:p>
            <w:r>
              <w:t>Длительность: 23 мин (80 мин) / 15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презентацию (слайды 1–14). Излагает правила отображения сильных/слабых сущностей, золотое правило связи 1:M (миграция FK в таблицу на стороне «многие»), создание промежуточных ассоциативных таблиц для связей M:N и перенос атрибутов связи. Поясняет разницу между RESTRICT и CASCADE.</w:t>
            </w:r>
          </w:p>
        </w:tc>
        <w:tc>
          <w:tcPr>
            <w:tcW w:w="1864" w:type="pct"/>
            <w:gridSpan w:val="2"/>
          </w:tcPr>
          <w:p>
            <w:r>
              <w:t>Слушают инструктаж, фиксируют правила миграции внешних ключей, специфику составных первичных ключей ассоциативных таблиц и защиту архивов через ON DELETE RESTRICT.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Демонстрация эталона (10 мин / 7 мин): разбор сквозного кейса поликлиники (Врачи — Приемы — Пациенты), фиксация цены на момент приема, DDL-скрипт.</w:t>
            </w:r>
          </w:p>
        </w:tc>
        <w:tc>
          <w:tcPr>
            <w:tcW w:w="1864" w:type="pct"/>
            <w:gridSpan w:val="2"/>
          </w:tcPr>
          <w:p>
            <w:r>
              <w:t>Анализируют шаги преподавателя, сверяют с критериальной шкалой, фиксируют синтаксис составных ключей и UNIQUE.</w:t>
            </w:r>
          </w:p>
        </w:tc>
        <w:tc>
          <w:tcPr>
            <w:tcW w:w="1859" w:type="pct"/>
            <w:gridSpan w:val="2"/>
          </w:tcPr>
          <w:p>
            <w:r>
              <w:t>ОК 01, ПК 4.1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>
            <w:r>
              <w:t>Этап 3 Практическая работа по вариантам</w:t>
            </w:r>
          </w:p>
        </w:tc>
        <w:tc>
          <w:tcPr>
            <w:tcW w:w="1864" w:type="pct"/>
            <w:gridSpan w:val="2"/>
          </w:tcPr>
          <w:p>
            <w:r>
              <w:t>Цель: самостоятельное преобразование ER-модели в реляционную структуру таблиц по вариантам</w:t>
            </w:r>
          </w:p>
        </w:tc>
        <w:tc>
          <w:tcPr>
            <w:tcW w:w="1859" w:type="pct"/>
            <w:gridSpan w:val="2"/>
          </w:tcPr>
          <w:p>
            <w:r>
              <w:t>Длительность: 25 мин (80 мин) / 21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выполнению работы в zanyatie.html по 4 вариантам (Онлайн-кинотеатр, Доставка еды, Фитнес-клуб, Ритейл-маркетплейс). Консультирует обучающихся, направляет рассуждения, выявляет коллизии в направлениях внешних ключей.</w:t>
            </w:r>
          </w:p>
        </w:tc>
        <w:tc>
          <w:tcPr>
            <w:tcW w:w="1864" w:type="pct"/>
            <w:gridSpan w:val="2"/>
          </w:tcPr>
          <w:p>
            <w:r>
              <w:t>Самостоятельно выполняют проектирование таблиц, декомпозируют связи M:N, формируют составные ключи, обосновывают хранение атрибутов связи и задают каскадные политики. Сохраняют данные в localStorage.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4.1, ПК 4.2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 Экспертный разбор и подведение итогов</w:t>
            </w:r>
          </w:p>
        </w:tc>
        <w:tc>
          <w:tcPr>
            <w:tcW w:w="1864" w:type="pct"/>
            <w:gridSpan w:val="2"/>
          </w:tcPr>
          <w:p>
            <w:r>
              <w:t>Цель: коррекция типичных ошибок, рефлексия, разъяснение резервного домашнего задания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мин: 10 разбор + 5 итог) / 12 мин (60 мин: 8 разбор + 4 итог)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Проводит разбор ошибок (утеря цены заказа в связующей таблице, инверсия FK в 1:M, попытка записи массивов строкой). Демонстрирует слайд 15 (культовый мем xkcd про Little Bobby Tables). Выставляет оценки по 4-балльной шкале.</w:t>
            </w:r>
          </w:p>
        </w:tc>
        <w:tc>
          <w:tcPr>
            <w:tcW w:w="1864" w:type="pct"/>
            <w:gridSpan w:val="2"/>
          </w:tcPr>
          <w:p>
            <w:r>
              <w:t>Анализируют замечания, исправляют неточности в рабочем листе, проводят самооценку и сохраняют чистовой вариант в PDF.</w:t>
            </w:r>
          </w:p>
        </w:tc>
        <w:tc>
          <w:tcPr>
            <w:tcW w:w="1859" w:type="pct"/>
            <w:gridSpan w:val="2"/>
          </w:tcPr>
          <w:p>
            <w:r>
              <w:t>ОК 01, ОК 04,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