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Типы моделей данных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специальность 09.02.06 Сетевое и системное администрирование,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Реляционная алгебра: соединение, занятие №9 по теме «Тема 2. Взаимосвязи в моделях и реляционный подход к построению моделей» (§2.2 с.7 программы)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практических навыков вычисления реляционных операций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информационно-коммуникационные технологии, алгоритмический тренинг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систему фундаментальных знаний о реляционной операции соединения (JOIN), ее математической природе (композиция декартова произведения и селекции), классификации соединений, роли маркера NULL в трехзначной логике и физических алгоритмах СУБД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освоить математическую формулу соединения σ_θ(R × S); изучить тета-, экви- и естественное соединение, внешние соединения (LEFT, RIGHT, FULL OUTER JOIN), полусоединение и антисоединение; исследовать специфику маркера NULL и алгоритмы Nested Loop, Hash Join, Merge Join</w:t>
            </w:r>
          </w:p>
        </w:tc>
        <w:tc>
          <w:tcPr>
            <w:tcW w:w="1246" w:type="pct"/>
            <w:gridSpan w:val="2"/>
          </w:tcPr>
          <w:p>
            <w:r>
              <w:t>воспитать профессиональную ответственность за проектирование структур данных, информационную культуру и точность инженерной терминологии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 (З 1-3): математические основы реляционной алгебры, семантика соединения, классификация JOIN, трехзначная логика Лукасевича (3VL). Умения (У 1): строить результирующие отношения различных типов соединений, рассчитывать мощность и степень, выявлять непарные кортежи и применять антисоединение.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проектор, интерактивная презентация (15 слайдов с мем-атрибуцией xkcd), электронный рабочий лист zanyatie.html (4 варианта с localStorage), критериальная рубрика .rubrika.md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5 мин (80 мин) / 5 мин (60 мин)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отсутствующих, мотивирует группу: ставит проблему восстановления связности между нормализованными таблицами без дублирования данных.</w:t>
            </w:r>
          </w:p>
        </w:tc>
        <w:tc>
          <w:tcPr>
            <w:tcW w:w="1864" w:type="pct"/>
            <w:gridSpan w:val="2"/>
          </w:tcPr>
          <w:p>
            <w:r>
              <w:t>ОК 01, ОК 02 Включаются в диалог, осмысливают проблему композиции сущностей, актуализируют понятия декартова произведения и ключа связи.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35 мин (80 мин) / 25 мин (60 мин)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теоретический материал с презентацией: формула σ_θ(R × S), тета- и эквисоединение, естественное соединение (Natural Join), внешние соединения (LEFT, RIGHT, FULL OUTER), феномен NULL и трехзначная логика, полу- и антисоединения, физические алгоритмы (Nested Loop, Hash, Merge Join).</w:t>
            </w:r>
          </w:p>
        </w:tc>
        <w:tc>
          <w:tcPr>
            <w:tcW w:w="1864" w:type="pct"/>
            <w:gridSpan w:val="2"/>
          </w:tcPr>
          <w:p>
            <w:r>
              <w:t>ОК 01, ОК 02, ОК 09, ПК 1.1–ПК 1.5 Слушают лекцию, конспектируют классификацию JOIN, фиксируют правила исключения дублирования ключей и поведение маркера NULL в трехзначной логике.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Длительность: 25 мин (80 мин) / 18 мин (60 мин)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рабочем листе zanyatie.html по 4 вариантам: 1) Клиенты и Счета; 2) Преподаватели и Кафедры; 3) Студенты и Экзамены; 4) Склад и Поставки. Консультирует обучающихся по расчету мощности и степени схем.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09, ПК 1.1–ПК 1.5 Открывают zanyatie.html, заполняют персональные реквизиты, выполняют вычисление соединений, анализируют непарные кортежи с маркером NULL, сохраняют результаты.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Длительность: 15 мин (80 мин) / 12 мин (60 мин)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обсуждение результатов по критериальной рубрике .rubrika.md, разбирает мем Bobby Tables (слайд 15) в контексте ссылочной целостности связей, оценивает работы (4 балла), дает инструктаж по резервному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ОК 01, ОК 02, ОК 04 Участвуют в разборе ошибок, сопоставляют решения с эталонами, оценивают результаты, фиксируют домашнее задание.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