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1. Основные понятия баз данных — Анализ предметной области: связи и правила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ОП.08 Основы проектирования баз данных, группа: ________________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Тема 1. Основные понятия баз данных — Анализ предметной области: связи и правила, Занятие №3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____________________________________________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Комбинированный урок (изучение нового материала с практическим закреплением)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технологии, технология проблемного обучения, развивающее обучение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предметные знания о связях между сущностями, типах кардинальности (1:1, 1:M, M:N) и классах принадлежности, выработать умения формализации бизнес-правил и семантических ограничений целостности реляционной модели данных.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 изучить правила моделирования связей между сущностями; освоить нотации Chen и Crow's Foot; освоить алгоритм декомпозиции связей M:N; выработать умение формулировать бизнес-правила.</w:t>
            </w:r>
          </w:p>
        </w:tc>
        <w:tc>
          <w:tcPr>
            <w:tcW w:w="1246" w:type="pct"/>
            <w:gridSpan w:val="2"/>
          </w:tcPr>
          <w:p>
            <w:r>
              <w:t>развивающие (доп): развивать инженерный самоконтроль при проверке темпоральных, ресурсных и балансовых ограничений модели.</w:t>
            </w:r>
          </w:p>
        </w:tc>
        <w:tc>
          <w:tcPr>
            <w:tcW w:w="1273" w:type="pct"/>
          </w:tcPr>
          <w:p>
            <w:r>
              <w:t>воспитательные: формировать ответственность за целостность проектируемых структур данных и следование отраслевым стандартам реляционного моделирования.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Знания: сущности, атрибуты и связи предметной области; типы кардинальности (1:1, 1:M, M:N); понятия обязательного и факультативного участия; семантические ограничения целостности.</w:t>
              <w:br/>
              <w:t>Умения: выявлять связи между сущностями; определять кардинальность и степень участия; формулировать бизнес-правила и ограничения.</w:t>
              <w:br/>
              <w:t>Компетенции: ОК 01, ОК 02, ОК 04, ОК 05, ОК 09, ПК 4.1, ПК 4.2.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обучающихся, интерактивные веб-материалы занятия, аудиторная маркерная доска, проектор.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Цель: подготовка к восприятию темы, актуализация знаний о сущностях, создание проблемной ситуации.</w:t>
            </w:r>
          </w:p>
        </w:tc>
        <w:tc>
          <w:tcPr>
            <w:tcW w:w="1859" w:type="pct"/>
            <w:gridSpan w:val="2"/>
          </w:tcPr>
          <w:p>
            <w:r>
              <w:t>Длительность: 7 мин (80 мин) / 5 мин (60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явку. Задает проблемный вопрос о коллизиях одновременной записи к врачу или овербукинге билетов.</w:t>
            </w:r>
          </w:p>
        </w:tc>
        <w:tc>
          <w:tcPr>
            <w:tcW w:w="1864" w:type="pct"/>
            <w:gridSpan w:val="2"/>
          </w:tcPr>
          <w:p>
            <w:r>
              <w:t>Включаются в диалог, выдвигают гипотезы о нарушениях целостности данных, осознают значимость связей и правил.</w:t>
            </w:r>
          </w:p>
        </w:tc>
        <w:tc>
          <w:tcPr>
            <w:tcW w:w="1859" w:type="pct"/>
            <w:gridSpan w:val="2"/>
          </w:tcPr>
          <w:p>
            <w:r>
              <w:t>ОК 01, ОК 02, ОК 05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Цель: освоение понятий Relationships, кардинальности 1:1, 1:M, M:N, нотаций Chen и Crow's Foot, модальности и бизнес-правил.</w:t>
            </w:r>
          </w:p>
        </w:tc>
        <w:tc>
          <w:tcPr>
            <w:tcW w:w="1859" w:type="pct"/>
            <w:gridSpan w:val="2"/>
          </w:tcPr>
          <w:p>
            <w:r>
              <w:t>Длительность: 28 мин (80 мин) / 20 мин (60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Излагает теорию связей, нотации Chen и Crow's Foot, закон декомпозиции M:N, обязательность участия (mandatory/optional) и природу бизнес-правил.</w:t>
            </w:r>
          </w:p>
        </w:tc>
        <w:tc>
          <w:tcPr>
            <w:tcW w:w="1864" w:type="pct"/>
            <w:gridSpan w:val="2"/>
          </w:tcPr>
          <w:p>
            <w:r>
              <w:t>Слушают объяснение, конспектируют графические обозначения нотаций, фиксируют правило миграции FK в дочернюю таблицу со стороны "Многие".</w:t>
            </w:r>
          </w:p>
        </w:tc>
        <w:tc>
          <w:tcPr>
            <w:tcW w:w="1859" w:type="pct"/>
            <w:gridSpan w:val="2"/>
          </w:tcPr>
          <w:p>
            <w:r>
              <w:t>ОК 01, ОК 02, ОК 09, ПК 4.1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>
            <w:r>
              <w:t>Демонстрация эталона (15 мин / 10 мин): разбор кейса Библиотека (Читатель — Выдача — Книга), декомпозиция M:N, формулирование 3 правил и 2 ограничений.</w:t>
            </w:r>
          </w:p>
        </w:tc>
        <w:tc>
          <w:tcPr>
            <w:tcW w:w="1864" w:type="pct"/>
            <w:gridSpan w:val="2"/>
          </w:tcPr>
          <w:p>
            <w:r>
              <w:t>Обучающиеся анализируют шаги преподавателя, сверяют с алгоритмом анализа предметной области, задают уточняющие вопросы.</w:t>
            </w:r>
          </w:p>
        </w:tc>
        <w:tc>
          <w:tcPr>
            <w:tcW w:w="1859" w:type="pct"/>
            <w:gridSpan w:val="2"/>
          </w:tcPr>
          <w:p>
            <w:r>
              <w:t>ОК 01, ПК 4.1</w:t>
            </w: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Цель: самостоятельное индивидуальное выполнение анализа предметной области по вариантам в интерактивном листе.</w:t>
            </w:r>
          </w:p>
        </w:tc>
        <w:tc>
          <w:tcPr>
            <w:tcW w:w="1859" w:type="pct"/>
            <w:gridSpan w:val="2"/>
          </w:tcPr>
          <w:p>
            <w:r>
              <w:t>Длительность: 20 мин (80 мин) / 15 мин (60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Инструктирует по выполнению практической работы по 4 вариантам в zanyatie.html, оказывает направляющие консультации, контролирует автосохранение.</w:t>
            </w:r>
          </w:p>
        </w:tc>
        <w:tc>
          <w:tcPr>
            <w:tcW w:w="1864" w:type="pct"/>
            <w:gridSpan w:val="2"/>
          </w:tcPr>
          <w:p>
            <w:r>
              <w:t>Самостоятельно очно выполняют анализ связей, кардинальности, модальности, формулируют бизнес-правила и ограничения целостности по варианту.</w:t>
            </w:r>
          </w:p>
        </w:tc>
        <w:tc>
          <w:tcPr>
            <w:tcW w:w="1859" w:type="pct"/>
            <w:gridSpan w:val="2"/>
          </w:tcPr>
          <w:p>
            <w:r>
              <w:t>ОК 01, ОК 02, ОК 09, ПК 4.1, ПК 4.2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 w14:paraId="49F2C78B" w14:textId="77777777" w:rsidR="001450AF" w:rsidRPr="00EA062D" w:rsidRDefault="00BD6ACF" w:rsidP="00C97F83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Цель: рефлексия, анализ типичных ошибок, инструктаж по экспорту и сдаче работы.</w:t>
            </w:r>
          </w:p>
        </w:tc>
        <w:tc>
          <w:tcPr>
            <w:tcW w:w="1859" w:type="pct"/>
            <w:gridSpan w:val="2"/>
          </w:tcPr>
          <w:p>
            <w:r>
              <w:t>Длительность: 10 мин (80 мин: 6 разбор + 4 итог) / 10 мин (60 мин)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Проводит разбор ошибок (ошибка мгновенного среза, подмена правил типами полей), обобщает итоги пары (4 балла), поясняет статус резервного ДЗ.</w:t>
            </w:r>
          </w:p>
        </w:tc>
        <w:tc>
          <w:tcPr>
            <w:tcW w:w="1864" w:type="pct"/>
            <w:gridSpan w:val="2"/>
          </w:tcPr>
          <w:p>
            <w:r>
              <w:t>Корректируют формулировки в рабочем листе, сохраняют чистовой PDF, передают на проверку, оценивают уровень собственного понимания темы.</w:t>
            </w:r>
          </w:p>
        </w:tc>
        <w:tc>
          <w:tcPr>
            <w:tcW w:w="1859" w:type="pct"/>
            <w:gridSpan w:val="2"/>
          </w:tcPr>
          <w:p>
            <w:r>
              <w:t>ОК 01, ОК 04, ОК 05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