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1. Основные понятия баз данных — Анализ предметной области: сущности и свойства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специальность 09.02.06 Сетевое и системное администрирование, группа: ________________________ [уточняется преподавателем]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Анализ предметной области: сущности и свойства, занятие №2 по теме «Тема 1. Основные понятия баз данных»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 [указывается преподавателем]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с формированием первичных практических навыков (80 мин основной регламент / сокращенно 60 мин)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Технология проблемного обучения, информационно-коммуникационные технологии, метод кейс-стади, технология развивающего обучения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знания и умения в области инфологического анализа предметной области: выделение сущностей, классификация атрибутов, определение доменов и обоснование потенциальных и первичных ключей.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освоить методологию инфологического анализа, разграничение сущности и экземпляра, классификацию атрибутов, задание доменов и обоснование первичных ключей</w:t>
            </w:r>
          </w:p>
        </w:tc>
        <w:tc>
          <w:tcPr>
            <w:tcW w:w="1246" w:type="pct"/>
            <w:gridSpan w:val="2"/>
          </w:tcPr>
          <w:p>
            <w:r>
              <w:t>воспитать профессиональную ответственность за проектирование структур данных, информационную культуру и точность инженерной терминологии</w:t>
            </w:r>
          </w:p>
        </w:tc>
        <w:tc>
          <w:tcPr>
            <w:tcW w:w="1273" w:type="pct"/>
          </w:tcPr>
          <w:p w14:paraId="49D18687" w14:textId="77777777" w:rsidR="001450AF" w:rsidRPr="00EA062D" w:rsidRDefault="001450AF" w:rsidP="001450AF">
            <w:pPr>
              <w:pStyle w:val="a3"/>
            </w:pP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 (З 1-3): основы теории баз данных, концептуальные модели, ER-моделирование, понятия сущности, атрибута, домена, ключа. Умения (У 1): анализировать предметную область, выделять сущности и атрибуты, задавать домены, выбирать первичный ключ. Компетенции: ОК 01, ОК 02, ОК 05, ОК 09, ПК 11.1–ПК 11.6.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интерактивная панель / проектор, электронный рабочий лист занятия (zanyatie.html), интерактивная презентация.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5 мин (80 мин) / 5 мин (60 мин)</w:t>
            </w:r>
          </w:p>
        </w:tc>
        <w:tc>
          <w:tcPr>
            <w:tcW w:w="1859" w:type="pct"/>
            <w:gridSpan w:val="2"/>
          </w:tcPr>
          <w:p w14:paraId="70B8522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  <w:r w:rsidR="006E7D86">
              <w:rPr>
                <w:sz w:val="22"/>
                <w:szCs w:val="22"/>
              </w:rPr>
              <w:t xml:space="preserve">:          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проверяет готовность к занятию, отмечает присутствующих. Формулирует проблемную ситуацию: «Как превратить хаотичное словесное описание реального бизнеса в строгую математическую структуру базы данных?». Озвучивает тему и задачи урока.</w:t>
            </w:r>
          </w:p>
        </w:tc>
        <w:tc>
          <w:tcPr>
            <w:tcW w:w="1864" w:type="pct"/>
            <w:gridSpan w:val="2"/>
          </w:tcPr>
          <w:p>
            <w:r>
              <w:t>ОК 01, ОК 02</w:t>
            </w:r>
          </w:p>
        </w:tc>
        <w:tc>
          <w:tcPr>
            <w:tcW w:w="1859" w:type="pct"/>
            <w:gridSpan w:val="2"/>
          </w:tcPr>
          <w:p w14:paraId="42C54F2F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30 мин (80 мин) / 20 мин (60 мин)</w:t>
            </w:r>
          </w:p>
        </w:tc>
        <w:tc>
          <w:tcPr>
            <w:tcW w:w="1859" w:type="pct"/>
            <w:gridSpan w:val="2"/>
          </w:tcPr>
          <w:p w14:paraId="1F2A70A6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теоретический материал: понятие инфологического анализа, сущность (Entity) и экземпляр (Instance), классификация атрибутов (простые/составные, однозначные/многозначные, производные), понятие домена и ограничения, потенциальные ключи (Candidate Keys), сравнение естественных и суррогатных ключей. Разбирает типичные когнитивные ошибки начинающих разработчиков. В сокращенном регламенте (60 мин) углубленные математические аспекты теории доменов выносятся на самостоятельное закрепление.</w:t>
            </w:r>
          </w:p>
        </w:tc>
        <w:tc>
          <w:tcPr>
            <w:tcW w:w="1864" w:type="pct"/>
            <w:gridSpan w:val="2"/>
          </w:tcPr>
          <w:p>
            <w:r>
              <w:t>ОК 01, ОК 02, ПК 11.1, ПК 11.2</w:t>
            </w:r>
          </w:p>
        </w:tc>
        <w:tc>
          <w:tcPr>
            <w:tcW w:w="1859" w:type="pct"/>
            <w:gridSpan w:val="2"/>
          </w:tcPr>
          <w:p w14:paraId="641A1471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30 мин (80 мин) / 22 мин (60 мин)</w:t>
            </w:r>
          </w:p>
        </w:tc>
        <w:tc>
          <w:tcPr>
            <w:tcW w:w="1859" w:type="pct"/>
            <w:gridSpan w:val="2"/>
          </w:tcPr>
          <w:p w14:paraId="65005781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самостоятельную работу в электронном рабочем листе по 4 профильным вариантам: Вариант 1 (Автопарк: VIN vs ID), Вариант 2 (Отель: вычисляемая стоимость), Вариант 3 (Библиотека: авторы и ISBN), Вариант 4 (Сервисный центр: статусы и даты). Осуществляет консультативную поддержку, выявляет затруднения при классификации многозначных атрибутов.</w:t>
            </w:r>
          </w:p>
        </w:tc>
        <w:tc>
          <w:tcPr>
            <w:tcW w:w="1864" w:type="pct"/>
            <w:gridSpan w:val="2"/>
          </w:tcPr>
          <w:p>
            <w:r>
              <w:t>ОК 01, ОК 02, ОК 05, ОК 09, ПК 11.1–ПК 11.6</w:t>
            </w:r>
          </w:p>
        </w:tc>
        <w:tc>
          <w:tcPr>
            <w:tcW w:w="1859" w:type="pct"/>
            <w:gridSpan w:val="2"/>
          </w:tcPr>
          <w:p w14:paraId="74CBCA19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Длительность: 15 мин (80 мин) / 13 мин (60 мин)</w:t>
            </w:r>
          </w:p>
        </w:tc>
        <w:tc>
          <w:tcPr>
            <w:tcW w:w="1859" w:type="pct"/>
            <w:gridSpan w:val="2"/>
          </w:tcPr>
          <w:p w14:paraId="3BF546F1" w14:textId="77777777" w:rsidR="001450AF" w:rsidRPr="00EA062D" w:rsidRDefault="001450AF" w:rsidP="00C97F83">
            <w:pPr>
              <w:jc w:val="both"/>
            </w:pP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экспресс-разбор выполненных работ по 4-балльной рубрике (выделение сущностей 2 б., классификация атрибутов и доменов 1 б., обоснование ключей 1 б.). Подводит содержательные итоги, отвечает на вопросы. Инструктирует по резервному дистанционному заданию.</w:t>
            </w:r>
          </w:p>
        </w:tc>
        <w:tc>
          <w:tcPr>
            <w:tcW w:w="1864" w:type="pct"/>
            <w:gridSpan w:val="2"/>
          </w:tcPr>
          <w:p>
            <w:r>
              <w:t>ОК 01, ОК 02, ОК 05</w:t>
            </w:r>
          </w:p>
        </w:tc>
        <w:tc>
          <w:tcPr>
            <w:tcW w:w="1859" w:type="pct"/>
            <w:gridSpan w:val="2"/>
          </w:tcPr>
          <w:p w14:paraId="135FF206" w14:textId="77777777" w:rsidR="00BD6ACF" w:rsidRPr="00EA062D" w:rsidRDefault="00BD6ACF" w:rsidP="00C97F83">
            <w:pPr>
              <w:jc w:val="both"/>
            </w:pP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