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1. Основные понятия баз данных — Основные понятия теории БД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специальность 09.02.07 Информационные системы и программирование, группа: ________________________ [уточняется преподавателем]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Основные понятия теории БД, занятие №1 по теме «Основные понятия баз данных» (§2.2 с.7 программы)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 [указывается преподавателем]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усвоения новых знаний (теоретический урок, 80 мин / сокращенно 60 мин)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Проблемное обучение, информационно-коммуникационные технологии, технология развивающего обучения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систему фундаментальных понятий теории баз данных (данные, информация, БД, СУБД), изучить базовую классификацию СУБД, трехуровневую архитектуру ANSI/SPARC и функции DBA.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>
            <w:r>
              <w:t>обучающие</w:t>
            </w:r>
          </w:p>
        </w:tc>
        <w:tc>
          <w:tcPr>
            <w:tcW w:w="1246" w:type="pct"/>
            <w:gridSpan w:val="2"/>
          </w:tcPr>
          <w:p>
            <w:r>
              <w:t>развивающие</w:t>
            </w:r>
          </w:p>
        </w:tc>
        <w:tc>
          <w:tcPr>
            <w:tcW w:w="1273" w:type="pct"/>
          </w:tcPr>
          <w:p>
            <w: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усвоить различия понятий «данные», «информация», «БД», «СУБД»; изучить архитектуру ANSI/SPARC, различия SQL и NoSQL, базовые функции СУБД и роль DBA</w:t>
            </w:r>
          </w:p>
        </w:tc>
        <w:tc>
          <w:tcPr>
            <w:tcW w:w="1246" w:type="pct"/>
            <w:gridSpan w:val="2"/>
          </w:tcPr>
          <w:p>
            <w:r>
              <w:t>развить аналитические способности при выборе оптимальной СУБД под прикладную специфику предметной области</w:t>
            </w:r>
          </w:p>
        </w:tc>
        <w:tc>
          <w:tcPr>
            <w:tcW w:w="1273" w:type="pct"/>
          </w:tcPr>
          <w:p>
            <w:r>
              <w:t>воспитать культуру ответственного проектирования информационных систем с учетом требований 152-ФЗ, разграничения полномочий и целостности данных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понятия данных, информации, БД, СУБД; архитектура ANSI/SPARC; классификация СУБД; функции DBA. Умения: отличать данные, базу и СУБД; выбирать модель хранения; выявлять аномалии параллельного доступа. Компетенции: ОК 01, ОК 02, ОК 04, ОК 09, ПК 1.1, ПК 1.2, ПК 1.5.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проектор, интерактивная презентация, интерактивный электронный рабочий лист занятия (0 внешних зависимостей).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Активизация мыслительной деятельности, введение в проблемное поле хранения данных</w:t>
            </w:r>
          </w:p>
        </w:tc>
        <w:tc>
          <w:tcPr>
            <w:tcW w:w="1859" w:type="pct"/>
            <w:gridSpan w:val="2"/>
          </w:tcPr>
          <w:p>
            <w:r>
              <w:t>Длительность: 5 мин (80 мин) / 5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студентов, отмечает явку. Формулирует проблемный вопрос о хранении данных оптовой базы в Excel на общем диске. Направляет рассуждения на аномалии параллельного доступа.</w:t>
            </w:r>
          </w:p>
        </w:tc>
        <w:tc>
          <w:tcPr>
            <w:tcW w:w="1864" w:type="pct"/>
            <w:gridSpan w:val="2"/>
          </w:tcPr>
          <w:p>
            <w:r>
              <w:t>Включаются в учебную деятельность, анализируют проблемную ситуацию, высказывают предположения о перезаписи файлов и блокировках. Фиксируют тему занятия.</w:t>
            </w:r>
          </w:p>
        </w:tc>
        <w:tc>
          <w:tcPr>
            <w:tcW w:w="1859" w:type="pct"/>
            <w:gridSpan w:val="2"/>
          </w:tcPr>
          <w:p>
            <w:r>
              <w:t>ОК 01, ОК 02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Усвоение понятий данных, информации, БД, СУБД, архитектуры ANSI/SPARC и классификации моделей</w:t>
            </w:r>
          </w:p>
        </w:tc>
        <w:tc>
          <w:tcPr>
            <w:tcW w:w="1859" w:type="pct"/>
            <w:gridSpan w:val="2"/>
          </w:tcPr>
          <w:p>
            <w:r>
              <w:t>Длительность: 25 мин (80 мин) / 18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Излагает материал: данные vs информация, ограничения файловых систем, понятие БД и СУБД (метафора библиотеки), функции СУБД, трехуровневая модель ANSI/SPARC, независимость данных, классификация (реляционные, документные, key-value, графовые), задачи DBA. В 60-мин сценарии углубленный разбор графовых и key-value баз переносится на домашнее изучение.</w:t>
            </w:r>
          </w:p>
        </w:tc>
        <w:tc>
          <w:tcPr>
            <w:tcW w:w="1864" w:type="pct"/>
            <w:gridSpan w:val="2"/>
          </w:tcPr>
          <w:p>
            <w:r>
              <w:t>Слушают изложение, конспектируют термины и трехуровневую схему ANSI/SPARC, задают уточняющие вопросы по транзакционной изоляции и разграничению уровней.</w:t>
            </w:r>
          </w:p>
        </w:tc>
        <w:tc>
          <w:tcPr>
            <w:tcW w:w="1859" w:type="pct"/>
            <w:gridSpan w:val="2"/>
          </w:tcPr>
          <w:p>
            <w:r>
              <w:t>ОК 01, ОК 04, ПК 1.1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Наглядная демонстрация схем, разбор кейсов аномалий и выполнение индивидуального продукта</w:t>
            </w:r>
          </w:p>
        </w:tc>
        <w:tc>
          <w:tcPr>
            <w:tcW w:w="1859" w:type="pct"/>
            <w:gridSpan w:val="2"/>
          </w:tcPr>
          <w:p>
            <w:r>
              <w:t>Длительность: 35 мин (80 мин) / 25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интерактивную презентацию (ANSI/SPARC, сравнение SQL и NoSQL, мем Bobby Tables). Организует самостоятельную работу в рабочем листе по 4 вариантам анализа предметной области (склад, поликлиника, магазин, деканат). Консультирует обучающихся по разбору контрпримеров и аномалий.</w:t>
            </w:r>
          </w:p>
        </w:tc>
        <w:tc>
          <w:tcPr>
            <w:tcW w:w="1864" w:type="pct"/>
            <w:gridSpan w:val="2"/>
          </w:tcPr>
          <w:p>
            <w:r>
              <w:t>Анализируют визуальные схемы и мем xkcd. Выполняют индивидуальный продукт в интерактивном рабочем листе zanyatie.html: формируют понятийный словарь, сопоставляют модели и описывают аномалию параллелизма.</w:t>
            </w:r>
          </w:p>
        </w:tc>
        <w:tc>
          <w:tcPr>
            <w:tcW w:w="1859" w:type="pct"/>
            <w:gridSpan w:val="2"/>
          </w:tcPr>
          <w:p>
            <w:r>
              <w:t>ОК 02, ОК 09, ПК 1.2, ПК 1.5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Анализ результатов, сопоставление с эталонами рубрики, самооценка и инструктаж по ДЗ</w:t>
            </w:r>
          </w:p>
        </w:tc>
        <w:tc>
          <w:tcPr>
            <w:tcW w:w="1859" w:type="pct"/>
            <w:gridSpan w:val="2"/>
          </w:tcPr>
          <w:p>
            <w:r>
              <w:t>Длительность: 15 мин (80 мин) / 12 мин (60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рефлексию и сопоставление решений с критериальной рубрикой (4 балла). Контролирует экспорт рабочего листа в PDF. Разъясняет статус резервного домашнего задания (выполняется только при пропуске очной пары).</w:t>
            </w:r>
          </w:p>
        </w:tc>
        <w:tc>
          <w:tcPr>
            <w:tcW w:w="1864" w:type="pct"/>
            <w:gridSpan w:val="2"/>
          </w:tcPr>
          <w:p>
            <w:r>
              <w:t>Проводят самооценку по открытым критериям рубрики, сохраняют заполненный рабочий лист в PDF, задают вопросы по закреплению темы.</w:t>
            </w:r>
          </w:p>
        </w:tc>
        <w:tc>
          <w:tcPr>
            <w:tcW w:w="1859" w:type="pct"/>
            <w:gridSpan w:val="2"/>
          </w:tcPr>
          <w:p>
            <w:r>
              <w:t>ОК 01, ОК 02, ПК 1.1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