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«Многопрограммная работа ЭВМ. Многомашинные и многопроцессорные вычислительные системы»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Многопрограммная работа ЭВМ. Многомашинные и многопроцессорные вычислительные системы, урок №19</w:t>
            </w:r>
          </w:p>
        </w:tc>
        <w:tc>
          <w:tcPr>
            <w:tcW w:w="3723" w:type="pct"/>
            <w:gridSpan w:val="4"/>
          </w:tcPr>
          <w:p>
            <w:r>
              <w:t>Многопрограммная работа ЭВМ. Многомашинные и многопроцессорные вычислительные системы, урок №19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________________ [ФИО преподавателя]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Комбинированный урок (теоретическое изучение с очным практическим закреплением и подготовкой 2/2 к итоговому контролю)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(теоретическое изучение с очным практическим закреплением и подготовкой 2/2 к итоговому контролю)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Информационно-коммуникационные технологии, проблемно-ориентированное обучение, дифференцированный кейс-метод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проблемно-ориентированное обучение, дифференцированный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Формирование системы знаний по архитектурным парадигмам параллелизма (многопрограммность ОС, SMP/ccNUMA, кластеры MPI), аппаратным механизмам кэш-когерентности (протокол MESI, эффект False Sharing) и расчетно-аналитическое обоснование спецификации вычислительного оборудования под прикладные задачи.</w:t>
            </w:r>
          </w:p>
        </w:tc>
        <w:tc>
          <w:tcPr>
            <w:tcW w:w="3723" w:type="pct"/>
            <w:gridSpan w:val="4"/>
          </w:tcPr>
          <w:p>
            <w:r>
              <w:t>Формирование системы знаний по архитектурным парадигмам параллелизма (многопрограммность ОС, SMP/ccNUMA, кластеры MPI), аппаратным механизмам кэш-когерентности (протокол MESI, эффект False Sharing) и расчетно-аналитическое обоснование спецификации вычислительного оборудования под прикладные задачи.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аппаратные уровни параллелизма (ILP, DLP, TLP); выявить физические различия изоляции памяти и обмена данными между ОС, SMP и кластерами; освоить состояния и переходы протокола MESI; изучить интерконнекты Ethernet, RoCE v2, InfiniBand и технологию RDMA; рассчитать масштабируемость по Амдалу и Густафсону-Барсису.</w:t>
            </w:r>
          </w:p>
        </w:tc>
        <w:tc>
          <w:tcPr>
            <w:tcW w:w="1246" w:type="pct"/>
            <w:gridSpan w:val="2"/>
          </w:tcPr>
          <w:p>
            <w:r>
              <w:t>Сформировать культуру ответственного проектирования вычислительных систем, экономическую и инженерную точность выбора аппаратного обеспечения.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Знает архитектурные модели параллелизма и состояния протокола MESI, умеет рассчитывать масштабируемость по законам Амдала и Густафсона, владеет навыками выявления узких мест и обоснования конфигурации оборудования.</w:t>
            </w:r>
          </w:p>
        </w:tc>
        <w:tc>
          <w:tcPr>
            <w:tcW w:w="3723" w:type="pct"/>
            <w:gridSpan w:val="4"/>
          </w:tcPr>
          <w:p>
            <w:r>
              <w:t>Знает архитектурные модели параллелизма и состояния протокола MESI, умеет рассчитывать масштабируемость по законам Амдала и Густафсона, владеет навыками выявления узких мест и обоснования конфигурации оборудования.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ПК преподавателя с проектором, рабочие места обучающихся с веб-браузером, локальный интерактивный веб-комплект HTML.</w:t>
            </w:r>
          </w:p>
        </w:tc>
        <w:tc>
          <w:tcPr>
            <w:tcW w:w="3723" w:type="pct"/>
            <w:gridSpan w:val="4"/>
          </w:tcPr>
          <w:p>
            <w:r>
              <w:t>ПК преподавателя с проектором, рабочие места обучающихся с веб-браузером, локальный интерактивный веб-комплект 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парадокс: почему нельзя создать процессор на 20 ГГц и зачем объединять процессоры в SMP и кластеры? Ставит цели и задачи занятия.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35 мин (25+10 при 80 мин) / 25 мин (18+7 при 60 мин)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слайды 1–13. Объясняет уровни ILP/DLP/TLP, переключение контекста ОС (TLB), структуру SMP и ccNUMA, протокол MESI, эффект ложного разделения данных, кластеры Beowulf, функции MPI, интерконнекты InfiniBand vs Ethernet, формулы Амдала и Густафсона.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4.1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30 мин (20+10 при 80 мин) / 22 мин (15+7 при 60 мин)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очную самостоятельную работу в zanyatie.html по 4 вариантам. Консультирует обучающихся, контролирует расчет ускорения и эффективности параллелизации.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4.1, ПК 4.2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10 мин (80 мин) / 8 мин (60 мин)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фронтальный разбор решений, указывает на типичные ошибки (статусы MESI, завышение ускорения). Выставляет оценки по 4-балльной матрице, инструктирует по сохранению PDF и резервному заданию.</w:t>
            </w:r>
          </w:p>
        </w:tc>
        <w:tc>
          <w:tcPr>
            <w:tcW w:w="1864" w:type="pct"/>
            <w:gridSpan w:val="2"/>
          </w:tcPr>
          <w:p>
            <w:r>
              <w:t>ОК 01, ОК 05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