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«Вычислительные системы. Классификация по потокам. Классификация по способу обработки потоков. Оценка производительности вычислительных систем»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Вычислительные системы. Классификация по потокам. Классификация по способу обработки потоков. Оценка производительности вычислительных систем, урок №18</w:t>
            </w:r>
          </w:p>
        </w:tc>
        <w:tc>
          <w:tcPr>
            <w:tcW w:w="3723" w:type="pct"/>
            <w:gridSpan w:val="4"/>
          </w:tcPr>
          <w:p>
            <w:r>
              <w:t>Вычислительные системы. Классификация по потокам. Классификация по способу обработки потоков. Оценка производительности вычислительных систем, урок №18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>
            <w:r>
              <w:t>________________ [ФИО преподавателя]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Комбинированный урок (теоретическое изучение с очным практическим закреплением и подготовкой 1/2 к итоговому контролю)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(теоретическое изучение с очным практическим закреплением и подготовкой 1/2 к итоговому контролю)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Информационно-коммуникационные технологии, проблемно-ориентированное обучение, дифференцированный кейс-метод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проблемно-ориентированное обучение, дифференцированный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Формирование системы знаний по архитектурной классификации вычислительных систем (таксономия Флинна, организация памяти SMP/NUMA, кластеры), освоение методологии оценки производительности (FLOPS, Linpack, MIPS) и моделей параллельного масштабирования (законы Амдала и Густафсона-Барсиса).</w:t>
            </w:r>
          </w:p>
        </w:tc>
        <w:tc>
          <w:tcPr>
            <w:tcW w:w="3723" w:type="pct"/>
            <w:gridSpan w:val="4"/>
          </w:tcPr>
          <w:p>
            <w:r>
              <w:t>Формирование системы знаний по архитектурной классификации вычислительных систем (таксономия Флинна, организация памяти SMP/NUMA, кластеры), освоение методологии оценки производительности (FLOPS, Linpack, MIPS) и моделей параллельного масштабирования (законы Амдала и Густафсона-Барсиса).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классификацию ЭВМ по потокам команд и данных (SISD, SIMD, MISD, MIMD); сравнить топологии памяти UMA и NUMA (фактор NUMA ratio); освоить векторные расширения AVX-512 и ARM SVE; рассчитать теоретическую пиковую производительность Rpeak и метрики теста Linpack HPL; изучить законы масштабирования Амдала и Густафсона-Барсиса.</w:t>
            </w:r>
          </w:p>
        </w:tc>
        <w:tc>
          <w:tcPr>
            <w:tcW w:w="1246" w:type="pct"/>
            <w:gridSpan w:val="2"/>
          </w:tcPr>
          <w:p>
            <w:r>
              <w:t>Развить системное инженерное мышление, способность выявлять узкие места многопроцессорных комплексов (задержки интерконнекта, кэш-когерентность), навыки расчета коэффициентов ускорения и эффективности параллелизации.</w:t>
            </w:r>
          </w:p>
        </w:tc>
        <w:tc>
          <w:tcPr>
            <w:tcW w:w="1273" w:type="pct"/>
          </w:tcPr>
          <w:p>
            <w:r>
              <w:t>Сформировать профессиональную культуру обоснованного выбора аппаратных вычислительных мощностей под специализированные прикладные задачи без избыточных затрат.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Знает классы систем по Флинну и способы организации памяти, умеет рассчитывать пиковую производительность и масштабируемость по законам Амдала и Густафсона, владеет навыками анализа аппаратных узких мест.</w:t>
            </w:r>
          </w:p>
        </w:tc>
        <w:tc>
          <w:tcPr>
            <w:tcW w:w="3723" w:type="pct"/>
            <w:gridSpan w:val="4"/>
          </w:tcPr>
          <w:p>
            <w:r>
              <w:t>Знает классы систем по Флинну и способы организации памяти, умеет рассчитывать пиковую производительность и масштабируемость по законам Амдала и Густафсона, владеет навыками анализа аппаратных узких мест.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ПК преподавателя с проектором, рабочие места обучающихся с веб-браузером, локальный интерактивный веб-комплект HTML.</w:t>
            </w:r>
          </w:p>
        </w:tc>
        <w:tc>
          <w:tcPr>
            <w:tcW w:w="3723" w:type="pct"/>
            <w:gridSpan w:val="4"/>
          </w:tcPr>
          <w:p>
            <w:r>
              <w:t>ПК преподавателя с проектором, рабочие места обучающихся с веб-браузером, локальный интерактивный веб-комплект 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организовать внимание обучающихся, актуализировать проблему нелинейного масштабирования многоядерных систем.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явку, формулирует парадокс: почему 100 процессорных ядер не ускоряют выполнение программы в 100 раз? Ставит цели и задачи занятия.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выдвигают гипотезы об аппаратных блокировках и задержках памяти, записывают тему в тетради.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систему понятий о таксономии Флинна, памяти SMP/NUMA, метриках FLOPS/Linpack и законах Амдала/Густафсона.</w:t>
            </w:r>
          </w:p>
        </w:tc>
        <w:tc>
          <w:tcPr>
            <w:tcW w:w="1859" w:type="pct"/>
            <w:gridSpan w:val="2"/>
          </w:tcPr>
          <w:p>
            <w:r>
              <w:t>Длительность: 35 мин (25+10 при 80 мин) / 25 мин (18+7 при 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слайды 1–13. Излагает классификацию Флинна, топологии памяти SMP/NUMA, векторные расширения AVX-512, метрики FLOPS и дефекты MIPS, тест Linpack. Показывает расчет пиковой мощности и ускорения по Амдалу и Густафсону.</w:t>
            </w:r>
          </w:p>
        </w:tc>
        <w:tc>
          <w:tcPr>
            <w:tcW w:w="1864" w:type="pct"/>
            <w:gridSpan w:val="2"/>
          </w:tcPr>
          <w:p>
            <w:r>
              <w:t>Конспектируют матрицу Флинна, формулу Rpeak, понятие NUMA ratio, формулы законов Амдала и Густафсона-Барсиса, анализируют примеры.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практические навыки расчета Rpeak, ускорения по закону Амдала и Густафсона, анализа кейса масштабируемости.</w:t>
            </w:r>
          </w:p>
        </w:tc>
        <w:tc>
          <w:tcPr>
            <w:tcW w:w="1859" w:type="pct"/>
            <w:gridSpan w:val="2"/>
          </w:tcPr>
          <w:p>
            <w:r>
              <w:t>Длительность: 30 мин (20+10 при 80 мин) / 22 мин (15+7 при 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очную самостоятельную работу в zanyatie.html по 4 вариантам. Консультирует обучающихся, контролирует расчет эффективности параллелизации.</w:t>
            </w:r>
          </w:p>
        </w:tc>
        <w:tc>
          <w:tcPr>
            <w:tcW w:w="1864" w:type="pct"/>
            <w:gridSpan w:val="2"/>
          </w:tcPr>
          <w:p>
            <w:r>
              <w:t>Индивидуально заполняют матрицу Флинна, рассчитывают показатели Rpeak, решают задачу масштабируемости по Амдалу и Густафсону, формулируют рекомендации под кейс.</w:t>
            </w:r>
          </w:p>
        </w:tc>
        <w:tc>
          <w:tcPr>
            <w:tcW w:w="1859" w:type="pct"/>
            <w:gridSpan w:val="2"/>
          </w:tcPr>
          <w:p>
            <w:r>
              <w:t>ОК 01, ОК 02, ОК 04,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фронтальный разбор ошибок, подведение итогов подготовки 1/2 к итоговому контролю, выставление оценок.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мин) / 8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фронтальный разбор решений, указывает на типичные ошибки (путаница UMA/NUMA, предел Амдала). Выставляет оценки по 4-балльной матрице, инструктирует по сохранению PDF и резервному заданию.</w:t>
            </w:r>
          </w:p>
        </w:tc>
        <w:tc>
          <w:tcPr>
            <w:tcW w:w="1864" w:type="pct"/>
            <w:gridSpan w:val="2"/>
          </w:tcPr>
          <w:p>
            <w:r>
              <w:t>Участвуют в анализе ошибок, сохраняют протокол в PDF. Записывают требования к резервному заданию (при необходимости).</w:t>
            </w:r>
          </w:p>
        </w:tc>
        <w:tc>
          <w:tcPr>
            <w:tcW w:w="1859" w:type="pct"/>
            <w:gridSpan w:val="2"/>
          </w:tcPr>
          <w:p>
            <w:r>
              <w:t>ОК 01,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