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Практическое занятие №6 «Законы Мура. Основные характеристики процессоров»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1.4. Технология повышения производительности процессоров. Практическое занятие №6 «Законы Мура. Основные характеристики процессоров» (Занятие №11)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по закреплению и совершенствованию умений и навыков (лабораторная практика)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технология проблемного обучения, технология практико-ориентированного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умения сравнивать характеристики и показатели бенчмарков процессоров под прикладной профиль нагрузки, рассчитывать пределы параллелизации по закону Амдала и оценивать удельную энергоэффективность.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1) освоить методику интерпретации синтетических и комплексных бенчмарков; 2) научить рассчитывать теоретическое ускорение S(N) и предел S_max по закону Амдала; 3) выявлять архитектурные узкие места (Compute-bound, Memory-bound, Cache-bound).</w:t>
            </w:r>
          </w:p>
        </w:tc>
        <w:tc>
          <w:tcPr>
            <w:tcW w:w="1246" w:type="pct"/>
            <w:gridSpan w:val="2"/>
          </w:tcPr>
          <w:p>
            <w:r>
              <w:t>Воспитательные: — воспитать культуру технико-экономического обоснования IT-решений; — сформировать ответственность при проектировании вычислительных систем.</w:t>
            </w:r>
          </w:p>
        </w:tc>
        <w:tc>
          <w:tcPr>
            <w:tcW w:w="1273" w:type="pct"/>
          </w:tcPr>
          <w:p>
            <w:r>
              <w:t>Воспитательные: — воспитать культуру технико-экономического обоснования IT-решений; — сформировать ответственность при проектировании вычислительных систем.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З 5–8, З 12, З 13 (принципы многопроцессорных и многоядерных систем, кэш-память, энергосбережение, узлы ЭВМ). Умения: У 1, У 3 (определять оптимальную конфигурацию и характеристики оборудования для конкретных задач, выбирать рациональную конфигурацию). Компетенции: ОК 01, ОК 02, ОК 04, ОК 05, ОК 09, ОК 10; ПК 4.1, ПК 4.2; ЛР 4, 6, 7, 10.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ПК обучающихся с веб-браузером, локальный методический веб-комплект файлов (zanyatie.html, lekciya.html, prezentaciya.html, domashnee_zadanie.html).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знания о характеристиках ЦП, сформулировать парадокс частоты и плавности в играх (5 мин / 5 мин).</w:t>
            </w:r>
          </w:p>
        </w:tc>
        <w:tc>
          <w:tcPr>
            <w:tcW w:w="1859" w:type="pct"/>
            <w:gridSpan w:val="2"/>
          </w:tcPr>
          <w:p>
            <w:r>
              <w:t>Цель: организовать внимание обучающихся, актуализировать знания о характеристиках ЦП, сформулировать парадокс частоты и плавности в играх (5 мин / 5 мин).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 w14:paraId="0FB9D3F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места, анализируют проблемную ситуацию, выдвигают предположения о роли кэша и задержек памяти.</w:t>
            </w:r>
          </w:p>
        </w:tc>
        <w:tc>
          <w:tcPr>
            <w:tcW w:w="1859" w:type="pct"/>
            <w:gridSpan w:val="2"/>
          </w:tcPr>
          <w:p>
            <w:r>
              <w:t>Приветствуют преподавателя, организуют рабочие места, анализируют проблемную ситуацию, выдвигают предположения о роли кэша и задержек памяти.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разобрать методику бенчмаркинга, формулу закона Амдала, критерии 4-балльной оценки и порядок выполнения работы (10 мин / 7 мин).</w:t>
            </w:r>
          </w:p>
        </w:tc>
        <w:tc>
          <w:tcPr>
            <w:tcW w:w="1859" w:type="pct"/>
            <w:gridSpan w:val="2"/>
          </w:tcPr>
          <w:p>
            <w:r>
              <w:t>Цель: разобрать методику бенчмаркинга, формулу закона Амдала, критерии 4-балльной оценки и порядок выполнения работы (10 мин / 7 мин).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 w14:paraId="6D905D18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>
            <w:r>
              <w:t>Изучают формулу Амдала, фиксируют различие между синтетическими и реальными тестами, знакомятся с 4 вариантами прикладных профилей.</w:t>
            </w:r>
          </w:p>
        </w:tc>
        <w:tc>
          <w:tcPr>
            <w:tcW w:w="1859" w:type="pct"/>
            <w:gridSpan w:val="2"/>
          </w:tcPr>
          <w:p>
            <w:r>
              <w:t>Изучают формулу Амдала, фиксируют различие между синтетическими и реальными тестами, знакомятся с 4 вариантами прикладных профилей.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очное выполнение студентами расчетных заданий в zanyatie.html и оформление протокола выбора процессора по варианту (40 мин / 30 мин).</w:t>
            </w:r>
          </w:p>
        </w:tc>
        <w:tc>
          <w:tcPr>
            <w:tcW w:w="1859" w:type="pct"/>
            <w:gridSpan w:val="2"/>
          </w:tcPr>
          <w:p>
            <w:r>
              <w:t>Цель: очное выполнение студентами расчетных заданий в zanyatie.html и оформление протокола выбора процессора по варианту (40 мин / 30 мин).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 w14:paraId="0894B172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>
            <w:r>
              <w:t>Выполняют задания в интерактивном бланке zanyatie.html: рассчитывают Perf/Watt, вычисляют матрицу Амдала для 3 профилей, составляют протокол выбора CPU по своему варианту.</w:t>
            </w:r>
          </w:p>
        </w:tc>
        <w:tc>
          <w:tcPr>
            <w:tcW w:w="1859" w:type="pct"/>
            <w:gridSpan w:val="2"/>
          </w:tcPr>
          <w:p>
            <w:r>
              <w:t>Выполняют задания в интерактивном бланке zanyatie.html: рассчитывают Perf/Watt, вычисляют матрицу Амдала для 3 профилей, составляют протокол выбора CPU по своему варианту.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проверка расчетов, разбор узких мест архитектуры, выставление оценок, разъяснение резервного ДЗ (15 мин / 10 мин + 5 мин / 3 мин).</w:t>
            </w:r>
          </w:p>
        </w:tc>
        <w:tc>
          <w:tcPr>
            <w:tcW w:w="1859" w:type="pct"/>
            <w:gridSpan w:val="2"/>
          </w:tcPr>
          <w:p>
            <w:r>
              <w:t>Цель: проверка расчетов, разбор узких мест архитектуры, выставление оценок, разъяснение резервного ДЗ (15 мин / 10 мин + 5 мин / 3 мин).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 w14:paraId="2361FAFA" w14:textId="77777777" w:rsidR="00BD6ACF" w:rsidRPr="00EA062D" w:rsidRDefault="00BD6AC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>
            <w:r>
              <w:t>Сверяют результаты расчетов, обосновывают выбор процессора, экспортируют итоговый протокол в PDF, фиксируют оценку, задают вопросы.</w:t>
            </w:r>
          </w:p>
        </w:tc>
        <w:tc>
          <w:tcPr>
            <w:tcW w:w="1859" w:type="pct"/>
            <w:gridSpan w:val="2"/>
          </w:tcPr>
          <w:p>
            <w:r>
              <w:t>Сверяют результаты расчетов, обосновывают выбор процессора, экспортируют итоговый протокол в PDF, фиксируют оценку, задают вопросы.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