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>
            <w: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группа: ________________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>
            <w: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1.3. Классификация и типовая структура микропроцессоров. Компоненты системного блока. Практическое занятие №3 «Центральная и периферийная части компьютера» (Занятие №9)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>
            <w:r>
              <w:t>ФИО 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>
            <w: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Практическое занятие по применению и совершенствованию знаний и умений (лабораторная практика)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>
            <w: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Технология практико-ориентированного обучения, информационно-коммуникационные технологии (ИКТ), технология проблемного обучения, дифференцированное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>
            <w:r>
              <w:t>Цель урока</w:t>
            </w:r>
          </w:p>
        </w:tc>
        <w:tc>
          <w:tcPr>
            <w:tcW w:w="3723" w:type="pct"/>
            <w:gridSpan w:val="4"/>
          </w:tcPr>
          <w:p>
            <w:r>
              <w:t>Сформировать у обучающихся умение идентифицировать ключевые компоненты системной платы, определять их принадлежность к центральной или периферийной части, сопоставлять характеристики системных шин и аргументировать назначение узлов с точки зрения организации потоков данных и электропитания.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>
            <w:r>
              <w:t>Задачи урока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развивающие</w:t>
            </w:r>
          </w:p>
        </w:tc>
        <w:tc>
          <w:tcPr>
            <w:tcW w:w="1273" w:type="pct"/>
          </w:tcPr>
          <w:p>
            <w: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1) Изучить конструктивные особенности сокета ЦП, VRM, чипсета/PCH, слотов PCIe/DDR, интерфейсов M.2 NVMe и контроллеров; 2) Сравнить характеристики системных шин (внутренняя шина ЦП, память, PCIe 5.0 x16, DMI 4.0 x8); 3) Освоить методику составления протокола распознавания узлов.</w:t>
            </w:r>
          </w:p>
        </w:tc>
        <w:tc>
          <w:tcPr>
            <w:tcW w:w="1246" w:type="pct"/>
            <w:gridSpan w:val="2"/>
          </w:tcPr>
          <w:p>
            <w:r>
              <w:t>1) Развивать аналитические навыки топологического анализа материнской платы; 2) Сформировать умение аргументировать выбор слотов для накопителей и ОЗУ; 3) Развивать инженерно-критическое мышление при выявлении узких мест шин.</w:t>
            </w:r>
          </w:p>
        </w:tc>
        <w:tc>
          <w:tcPr>
            <w:tcW w:w="1273" w:type="pct"/>
          </w:tcPr>
          <w:p>
            <w:r>
              <w:t>1) Воспитывать культуру использования технической терминологии; 2) Формировать аккуратность и ответственность при оформлении протоколов; 3) Развивать познавательную активность в изучении микропроцессорной техники.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>
            <w:r>
              <w:t>Прогнозируемый результат (знания, умения, навыки; компетенции)</w:t>
            </w:r>
          </w:p>
        </w:tc>
        <w:tc>
          <w:tcPr>
            <w:tcW w:w="3723" w:type="pct"/>
            <w:gridSpan w:val="4"/>
          </w:tcPr>
          <w:p>
            <w:r>
              <w:t>Знания: З 1 (архитектура ЦВС), З 2 (принципы работы логических блоков), З 9 (конструктивные элементы СВТ), З 12 (назначение и принципы работы узлов), З 13 (структурные схемы и порядок взаимодействия). Умения: У 2 (идентифицировать узлы ПК, разъемы подключения), У 4 (определять совместимость аппаратного и программного обеспечения). Компетенции: ОК 01, ОК 02, ОК 04, ОК 05, ОК 09.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>
            <w:r>
              <w:t>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 с веб-браузером, интерактивный электронный бланк практической работы zanyatie.html, комплект lekciya.html, prezentaciya.html, мультимедийный проектор, экран, сетевой принтер.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>
            <w:r>
              <w:t>Организационно - деятельностная 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1. Организационный момент и мотивация</w:t>
            </w:r>
          </w:p>
        </w:tc>
        <w:tc>
          <w:tcPr>
            <w:tcW w:w="1864" w:type="pct"/>
            <w:gridSpan w:val="2"/>
          </w:tcPr>
          <w:p>
            <w:r>
              <w:t>Организация учебного внимания, постановка проблемной ситуации по физической топологии системной платы (разница скоростей SSD в слотах CPU vs PCH)</w:t>
            </w:r>
          </w:p>
        </w:tc>
        <w:tc>
          <w:tcPr>
            <w:tcW w:w="1859" w:type="pct"/>
            <w:gridSpan w:val="2"/>
          </w:tcPr>
          <w:p>
            <w:r>
              <w:t>80 мин: 5 мин | 60 мин: 5 мин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>
            <w: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>
            <w:r>
              <w:t>Деятельность учащихся</w:t>
            </w:r>
          </w:p>
        </w:tc>
        <w:tc>
          <w:tcPr>
            <w:tcW w:w="1859" w:type="pct"/>
            <w:gridSpan w:val="2"/>
          </w:tcPr>
          <w:p>
            <w: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посещаемость в журнале, ставит проблемный вопрос о физическом размещении скоростных накопителей и ОЗУ на плате. Объявляет тему и задачи занятия.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включают ПК, включаются в анализ проблемной ситуации, сопоставляют прямой линк CPU и чипсетную шину DMI.</w:t>
            </w:r>
          </w:p>
        </w:tc>
        <w:tc>
          <w:tcPr>
            <w:tcW w:w="1859" w:type="pct"/>
            <w:gridSpan w:val="2"/>
          </w:tcPr>
          <w:p>
            <w:r>
              <w:t>ОК 01, ОК 02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2. Вводный инструктаж и актуализация</w:t>
            </w:r>
          </w:p>
        </w:tc>
        <w:tc>
          <w:tcPr>
            <w:tcW w:w="1864" w:type="pct"/>
            <w:gridSpan w:val="2"/>
          </w:tcPr>
          <w:p>
            <w:r>
              <w:t>Формирование системы понятий о сокете, VRM, PCH, распределении линий PCIe и топологии Daisy-Chain; разъяснение 4-балльных критериев оценивания.</w:t>
            </w:r>
          </w:p>
        </w:tc>
        <w:tc>
          <w:tcPr>
            <w:tcW w:w="1859" w:type="pct"/>
            <w:gridSpan w:val="2"/>
          </w:tcPr>
          <w:p>
            <w:r>
              <w:t>80 мин: 15 мин (10+5) | 60 мин: 12 мин (7+5)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>
            <w: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>
            <w:r>
              <w:t>Деятельность учащихся</w:t>
            </w:r>
          </w:p>
        </w:tc>
        <w:tc>
          <w:tcPr>
            <w:tcW w:w="1859" w:type="pct"/>
            <w:gridSpan w:val="2"/>
          </w:tcPr>
          <w:p>
            <w: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презентацию (слайды 3–8): состав центральной и периферийной частей, анатомию фазы VRM (ШИМ, DrMOS, дроссели), шину DMI 4.0 x8 и правило слотов A2/B2. Показывает эталон работы в zanyatie.html.</w:t>
            </w:r>
          </w:p>
        </w:tc>
        <w:tc>
          <w:tcPr>
            <w:tcW w:w="1864" w:type="pct"/>
            <w:gridSpan w:val="2"/>
          </w:tcPr>
          <w:p>
            <w:r>
              <w:t>Конспектируют ключевые различия процессорных и чипсетных линий PCIe, следят за показом эталона заполнения интерактивного бланка, задают уточняющие вопросы.</w:t>
            </w:r>
          </w:p>
        </w:tc>
        <w:tc>
          <w:tcPr>
            <w:tcW w:w="1859" w:type="pct"/>
            <w:gridSpan w:val="2"/>
          </w:tcPr>
          <w:p>
            <w:r>
              <w:t>ОК 02, ОК 05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3. Самостоятельная практическая работа обучающихся</w:t>
            </w:r>
          </w:p>
        </w:tc>
        <w:tc>
          <w:tcPr>
            <w:tcW w:w="1864" w:type="pct"/>
            <w:gridSpan w:val="2"/>
          </w:tcPr>
          <w:p>
            <w:r>
              <w:t>Очное выполнение всех оцениваемых заданий практикума: классификация 6 узлов, расчет параметров магистралей и оформление индивидуального протокола по 4 вариантам.</w:t>
            </w:r>
          </w:p>
        </w:tc>
        <w:tc>
          <w:tcPr>
            <w:tcW w:w="1859" w:type="pct"/>
            <w:gridSpan w:val="2"/>
          </w:tcPr>
          <w:p>
            <w:r>
              <w:t>80 мин: 40 мин | 60 мин: 30 мин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>
            <w: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>
            <w:r>
              <w:t>Деятельность учащихся</w:t>
            </w:r>
          </w:p>
        </w:tc>
        <w:tc>
          <w:tcPr>
            <w:tcW w:w="1859" w:type="pct"/>
            <w:gridSpan w:val="2"/>
          </w:tcPr>
          <w:p>
            <w: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самостоятельную работу в веб-форме zanyatie.html. Контролирует очное выполнение всех заданий, проверяет автосохранение, консультирует обучающихся по трассировке линий и расчету шин.</w:t>
            </w:r>
          </w:p>
        </w:tc>
        <w:tc>
          <w:tcPr>
            <w:tcW w:w="1864" w:type="pct"/>
            <w:gridSpan w:val="2"/>
          </w:tcPr>
          <w:p>
            <w:r>
              <w:t>Индивидуально выполняют практическую работу в zanyatie.html: 1) классифицируют 6 узлов платы; 2) заполняют таблицу 4 магистралей; 3) оформляют протокол своего варианта (трассировка, VRM, анализ ограничений).</w:t>
            </w:r>
          </w:p>
        </w:tc>
        <w:tc>
          <w:tcPr>
            <w:tcW w:w="1859" w:type="pct"/>
            <w:gridSpan w:val="2"/>
          </w:tcPr>
          <w:p>
            <w:r>
              <w:t>ОК 01, ОК 02, ОК 09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Контроль, проверка, подведение итогов, рефлексия, ДЗ</w:t>
            </w:r>
          </w:p>
        </w:tc>
        <w:tc>
          <w:tcPr>
            <w:tcW w:w="1864" w:type="pct"/>
            <w:gridSpan w:val="2"/>
          </w:tcPr>
          <w:p>
            <w:r>
              <w:t>Разбор типичных ошибок, проверка итоговых протоколов, выставление индивидуальных оценок по 4-балльной шкале, выдача инструктажа по резервному заданию.</w:t>
            </w:r>
          </w:p>
        </w:tc>
        <w:tc>
          <w:tcPr>
            <w:tcW w:w="1859" w:type="pct"/>
            <w:gridSpan w:val="2"/>
          </w:tcPr>
          <w:p>
            <w:r>
              <w:t>80 мин: 20 мин (15+5) | 60 мин: 13 мин (10+3)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>
            <w: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>
            <w:r>
              <w:t>Деятельность учащихся</w:t>
            </w:r>
          </w:p>
        </w:tc>
        <w:tc>
          <w:tcPr>
            <w:tcW w:w="1859" w:type="pct"/>
            <w:gridSpan w:val="2"/>
          </w:tcPr>
          <w:p>
            <w: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Разбирает типичные ошибки: ошибочное отнесение NVMe к ОЗУ, пренебрежение правилом слотов A2/B2, перегрузка шины DMI. Выставляет оценки в журнал. Разъясняет порядок резервного задания domashnee_zadanie.html.</w:t>
            </w:r>
          </w:p>
        </w:tc>
        <w:tc>
          <w:tcPr>
            <w:tcW w:w="1864" w:type="pct"/>
            <w:gridSpan w:val="2"/>
          </w:tcPr>
          <w:p>
            <w:r>
              <w:t>Участвуют в анализе типичных ошибок, сопоставляют свои протоколы с эталоном, экспортируют работу в PDF и сохраняют отчет. Получают индивидуальные баллы.</w:t>
            </w:r>
          </w:p>
        </w:tc>
        <w:tc>
          <w:tcPr>
            <w:tcW w:w="1859" w:type="pct"/>
            <w:gridSpan w:val="2"/>
          </w:tcPr>
          <w:p>
            <w:r>
              <w:t>ОК 01, ОК 04, ОК 05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