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Обзор структурной схемы. Центральная и периферийная части компьютера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>
            <w: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 преподавателем)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Обзор структурной схемы. Центральная и периферийная части компьютера, урок №8 (по теме 1.3 — №1)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>
            <w:r>
              <w:t>ФИО 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изучения и первичного закрепления новых знаний (вид: теоретическое занятие с практикумом)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 (ИКТ), проблемное обучение, опережающее обучение, дифференцированное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Цель урока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систему теоретических знаний и прикладных представлений об общей структурной схеме компьютера, принципах фон-неймановской архитектуры, разграничении функций центральной и периферийной подсистем, магистрально-модульном принципе организации шин и методах преодоления архитектурного ограничения «узкого горлышка фон Неймана».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</w:t>
              <w:br/>
              <w:t>— изучить ключевые принципы фон-неймановской модели ЭВМ (хранимая программа, однородность и адресность памяти, последовательное управление);</w:t>
              <w:br/>
              <w:t>— усвоить функциональный состав, назначение и взаимосвязь узлов центральной (ЦП, ОЗУ, ПЗУ) и периферийной подсистем;</w:t>
              <w:br/>
              <w:t>— исследовать функциональное назначение, разрядность и направленность системных шин (адреса, данных, управления).</w:t>
            </w:r>
          </w:p>
        </w:tc>
        <w:tc>
          <w:tcPr>
            <w:tcW w:w="1246" w:type="pct"/>
            <w:gridSpan w:val="2"/>
          </w:tcPr>
          <w:p>
            <w:r>
              <w:t>Развивающие:</w:t>
              <w:br/>
              <w:t>— развить аналитические навыки структурно-функционального анализа аппаратуры вычислительных систем;</w:t>
              <w:br/>
              <w:t>— сформировать алгоритмическое умение трассировки циклов выборки и исполнения машинных инструкций;</w:t>
              <w:br/>
              <w:t>— развить инженерно-критическое мышление при оценке системных барьеров пропускной способности шин.</w:t>
            </w:r>
          </w:p>
        </w:tc>
        <w:tc>
          <w:tcPr>
            <w:tcW w:w="1273" w:type="pct"/>
          </w:tcPr>
          <w:p>
            <w:r>
              <w:t>Воспитательные:</w:t>
              <w:br/>
              <w:t>— воспитать культуру использования строгой технической терминологии;</w:t>
              <w:br/>
              <w:t>— сформировать аккуратность и ответственность при составлении технических протоколов;</w:t>
              <w:br/>
              <w:t>— развить познавательную активность в области микропроцессорной техники.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Прогнозируемый результат (знания, умения, навыки; компетенции)</w:t>
            </w:r>
          </w:p>
        </w:tc>
        <w:tc>
          <w:tcPr>
            <w:tcW w:w="3723" w:type="pct"/>
            <w:gridSpan w:val="4"/>
          </w:tcPr>
          <w:p>
            <w:r>
              <w:t>Знания: З 1 (архитектура ЦВС), З 2 (принципы работы логических блоков), З 9 (конструктивные элементы СВТ), З 12 (назначение и принципы работы узлов), З 13 (структурные схемы и порядок взаимодействия).</w:t>
              <w:br/>
              <w:t>Умения: У 2 (идентифицировать основные узлы ПК, разъемы подключения), У 4 (определять совместимость аппаратного и программного обеспечения).</w:t>
              <w:br/>
              <w:t>Компетенции: ОК 01, ОК 02, ОК 04, ОК 05, ОК 09.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преподавателя, мультимедийный проектор, экран, ПК обучающихся с веб-браузером, локальный методический веб-комплект (lekciya.html, prezentaciya.html, zanyatie.html, domashnee_zadanie.html)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1. Актуализация опорных знаний и мотивация</w:t>
            </w:r>
          </w:p>
        </w:tc>
        <w:tc>
          <w:tcPr>
            <w:tcW w:w="1864" w:type="pct"/>
            <w:gridSpan w:val="2"/>
          </w:tcPr>
          <w:p>
            <w:r>
              <w:t>Цель: организовать внимание обучающихся, актуализировать базовые знания о логических узлах, поставить проблему межкомпонентных соединений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посещаемость в журнале. Формулирует проблемную ситуацию: соединение N устройств по принципу «каждый с каждым» требует N*(N-1)/2 проводников. Объявляет тему занятия и ставит задачи.</w:t>
            </w:r>
          </w:p>
        </w:tc>
        <w:tc>
          <w:tcPr>
            <w:tcW w:w="1864" w:type="pct"/>
            <w:gridSpan w:val="2"/>
          </w:tcPr>
          <w:p>
            <w:r>
              <w:t>Включаются в учебную деятельность. Отвечают на вопросы преподавателя о триггерах, сумматорах и регистрах. Осознают инженерное противоречие кабельного хаоса. Записывают тему в тетради.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2. Сообщение новых знаний и демонстрационный показ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систему понятий о принципах фон Неймана, центральной и периферийной подсистемах, шинной архитектуре и машинном цикле</w:t>
            </w:r>
          </w:p>
        </w:tc>
        <w:tc>
          <w:tcPr>
            <w:tcW w:w="1859" w:type="pct"/>
            <w:gridSpan w:val="2"/>
          </w:tcPr>
          <w:p>
            <w:r>
              <w:t>Длительность: 40 мин (25+15 мин при 80 мин) / 28 мин (18+10 мин при 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принципы фон Неймана (хранимая программа, однородность, адресность, последовательность). Демонстрирует презентацию (слайды 1–12): разграничение центральной (ЦП, ОЗУ, ПЗУ) и периферийной (контроллеры, накопители, ПУ) частей. Объясняет устройство магистрали: шины адреса (однонаправленная), данных (двунаправленная), управления. Проводит демонстрационную пошаговую трассировку машинного цикла ADD R1, [0x04F0] (Fetch, Decode, Execute, Writeback) и раскрывает узкое горлышко фон Неймана.</w:t>
            </w:r>
          </w:p>
        </w:tc>
        <w:tc>
          <w:tcPr>
            <w:tcW w:w="1864" w:type="pct"/>
            <w:gridSpan w:val="2"/>
          </w:tcPr>
          <w:p>
            <w:r>
              <w:t>Слушают объяснение преподавателя, ведут конспект в тетрадях. Анализируют структурные схемы и таблицу характеристик шин. Следят за демонстрацией машинного цикла, фиксируют состояния регистров PC, IR, флагов FLAGS. Отвечают на проблемный вопрос о конкуренции команд и данных за шину памяти.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Контролирует первичное понимание фронтальными проверочными вопросами. Разъясняет механизм прямого доступа к памяти (DMA).</w:t>
            </w:r>
          </w:p>
        </w:tc>
        <w:tc>
          <w:tcPr>
            <w:tcW w:w="1864" w:type="pct"/>
            <w:gridSpan w:val="2"/>
          </w:tcPr>
          <w:p>
            <w:r>
              <w:t>Формулируют вывод о разгрузке процессора при блочном обмене через контроллер DMA.</w:t>
            </w:r>
          </w:p>
        </w:tc>
        <w:tc>
          <w:tcPr>
            <w:tcW w:w="1859" w:type="pct"/>
            <w:gridSpan w:val="2"/>
          </w:tcPr>
          <w:p>
            <w:r>
              <w:t>ОК 02, ОК 05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3. Закрепление знаний (практическое действие)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устойчивое практическое умение классификации узлов, трассировки шинных сигналов и аргументации архитектурных решений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мин, 2-й пример с/р)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обучающихся в интерактивной форме zanyatie.html. Инструктирует по 4-балльным критериям оценивания (2 балла за классификацию, 1 балл за трассировку команды, 1 балл за анализ барьера). Совершает целевые обходы, контролирует автосохранение, консультирует обучающихся при затруднениях.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практические задания в веб-форме zanyatie.html: 1) классифицируют 6 аппаратных узлов и указывают шинный интерфейс; 2) составляют пошаговый протокол выполнения команды ADD с фиксацией сигналов ША, ШД, ШУ; 3) анализируют узкое горлышко фон Неймана и формулируют 2 пути его решения. Сохраняют данные локально.</w:t>
            </w:r>
          </w:p>
        </w:tc>
        <w:tc>
          <w:tcPr>
            <w:tcW w:w="1859" w:type="pct"/>
            <w:gridSpan w:val="2"/>
          </w:tcPr>
          <w:p>
            <w:r>
              <w:t>ОК 01, ОК 02, ОК 04, ОК 09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урока, обратная связь и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устранить выявленные пробелы, подвести итоги занятия, зафиксировать индивидуальные оценки, дать инструктаж по резервному заданию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(10+5 мин при 80 мин) / 12 мин (7+5 мин при 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типичных ошибок: заблуждение об отнесении SSD к оперативной памяти, ошибки направления шины адреса, путаница в задачах DMA. Соотносит достигнутые результаты с поставленной целью занятия. Выставляет индивидуальные оценки по 4-балльной шкале. Разъясняет регламент резервной работы в domashnee_zadanie.html для пропустивших пару обучающихся.</w:t>
            </w:r>
          </w:p>
        </w:tc>
        <w:tc>
          <w:tcPr>
            <w:tcW w:w="1864" w:type="pct"/>
            <w:gridSpan w:val="2"/>
          </w:tcPr>
          <w:p>
            <w:r>
              <w:t>Участвуют в анализе типичных ошибок, сопоставляют свои решения с комментариями преподавателя, при необходимости вносят правки в форму. Экспортируют заполненный протокол в PDF. Осуществляют самооценку по критериям. Фиксируют указания преподавателя.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