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ОП.02 Архитектура аппаратных средств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Формы представления чисел в ЭВМ. Кодирование текстовой и графической информации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средств; учебная группа: уточняется преподавателем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Формы представления чисел в ЭВМ. Кодирование текстовой и графической информации (Занятие №5)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Уточняется преподавателем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с первичным закреплением и индивидуальным контролем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Технология проблемного обучения, ИКТ, технология поэтапного формирования умственных действий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систему понятий об аппаратном представлении чисел и кодировании текстовой и графической информации в ЭВМ, выработать навык составления индивидуальной схемы-протокола кодирования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>
            <w: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прямой, обратный, доп. коды; освоить формат IEEE 754 Single (32 бита); изучить ASCII, CP1251, UTF-8; научиться рассчитывать объем растра W x H x b в битах и байтах.</w:t>
            </w:r>
          </w:p>
        </w:tc>
        <w:tc>
          <w:tcPr>
            <w:tcW w:w="1246" w:type="pct"/>
            <w:gridSpan w:val="2"/>
          </w:tcPr>
          <w:p>
            <w:r>
              <w:t>развивающие: развивать алгоритмическое и логическое мышление, умение анализировать структуру разрядной сетки процессора, сопоставлять форматы хранения и выполнять проверку.</w:t>
            </w:r>
          </w:p>
        </w:tc>
        <w:tc>
          <w:tcPr>
            <w:tcW w:w="1273" w:type="pct"/>
          </w:tcPr>
          <w:p>
            <w:r>
              <w:t>воспитательные: воспитывать культуру точных инженерных расчетов, информационную грамотность, ответственность за качество выполнения практических алгоритмов.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Объясняет выбранный способ представления числовой, текстовой и графической информации, переводит числа в доп. код и IEEE 754, рассчитывает объем текста и растра; формируются ОК 01, ОК 02, ОК 04, ОК 05, ОК 09, ОК 10, ПК 4.1, ПК 4.2.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Мультимедийный проектор, ПК преподавателя, интерактивная доска; персональные компьютеры студентов или рабочие бланки; презентация занятия, методический конспект, лист zanyatie.html.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>
            <w:r>
              <w:t>Этап 1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Актуализировать знания о разрядной сетке ЭВМ и мотивировать к изучению форматов кодирования</w:t>
            </w:r>
          </w:p>
        </w:tc>
        <w:tc>
          <w:tcPr>
            <w:tcW w:w="1859" w:type="pct"/>
            <w:gridSpan w:val="2"/>
          </w:tcPr>
          <w:p>
            <w:r>
              <w:t>5 минут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студентов, ставит проблемный вопрос: почему ячейка памяти 11111111 нейтральна к типу и как АЛУ понимает разницу между целым, float и символом? Формулирует тему и задачи.</w:t>
            </w:r>
          </w:p>
        </w:tc>
        <w:tc>
          <w:tcPr>
            <w:tcW w:w="1864" w:type="pct"/>
            <w:gridSpan w:val="2"/>
          </w:tcPr>
          <w:p>
            <w:r>
              <w:t>Анализируют противоречие, актуализируют понятия разрядной сетки, выдвигают гипотезы, формулируют учебные цели.</w:t>
            </w:r>
          </w:p>
        </w:tc>
        <w:tc>
          <w:tcPr>
            <w:tcW w:w="1859" w:type="pct"/>
            <w:gridSpan w:val="2"/>
          </w:tcPr>
          <w:p>
            <w:r>
              <w:t>ОК 01, ОК 02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>
            <w:r>
              <w:t>Этап 2 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Сформировать теоретическую базу по представлению целых чисел, стандарту IEEE 754, кодированию текста и растровой графики</w:t>
            </w:r>
          </w:p>
        </w:tc>
        <w:tc>
          <w:tcPr>
            <w:tcW w:w="1859" w:type="pct"/>
            <w:gridSpan w:val="2"/>
          </w:tcPr>
          <w:p>
            <w:r>
              <w:t>25 мин (80-мин) / 18 мин (60-мин)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Излагает теорию: 1) Нейтральность памяти и семантика машинных инструкций. 2) Дополнительный код целых чисел, замена вычитания суммированием. 3) Стандарт IEEE 754 Single (знак, порядок +127, неявная единица мантиссы). 4) Текст: ASCII, кодовые страницы CP1251, схема префиксов UTF-8. 5) Растровая графика: разрешение W x H, глубина цвета b, расчет объема V = W x H x b в битах и байтах, выравнивание строк по 4 байта.</w:t>
            </w:r>
          </w:p>
        </w:tc>
        <w:tc>
          <w:tcPr>
            <w:tcW w:w="1864" w:type="pct"/>
            <w:gridSpan w:val="2"/>
          </w:tcPr>
          <w:p>
            <w:r>
              <w:t>Слушают изложение, конспектируют формулы, анализируют структуру 32-битного слова IEEE 754 и схему UTF-8.</w:t>
            </w:r>
          </w:p>
        </w:tc>
        <w:tc>
          <w:tcPr>
            <w:tcW w:w="1859" w:type="pct"/>
            <w:gridSpan w:val="2"/>
          </w:tcPr>
          <w:p>
            <w:r>
              <w:t>ОК 01, ОК 02, ОК 04, ПК 4.1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>
            <w:r>
              <w:t>Этап 3 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Отработать алгоритмы перевода в IEEE 754, расчета байтов текста и объема растра, выработать индивидуальный продукт</w:t>
            </w:r>
          </w:p>
        </w:tc>
        <w:tc>
          <w:tcPr>
            <w:tcW w:w="1859" w:type="pct"/>
            <w:gridSpan w:val="2"/>
          </w:tcPr>
          <w:p>
            <w:r>
              <w:t>35 мин (80-мин: 15 демонстр.+20 практ.) / 25 мин (60-мин: 10+15)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1) Демонстрирует на доске пошаговый перевод числа -13.5 в IEEE 754 (0xC1580000), подсчет байтов строки текста и объем растрового значка 16x16 в битах и байтах. 2) Организует очную самостоятельную работу студентов по вариантам (1–4) в бланке zanyatie.html. Консультирует обучающихся.</w:t>
            </w:r>
          </w:p>
        </w:tc>
        <w:tc>
          <w:tcPr>
            <w:tcW w:w="1864" w:type="pct"/>
            <w:gridSpan w:val="2"/>
          </w:tcPr>
          <w:p>
            <w:r>
              <w:t>1) Фиксируют эталонный ход рассуждений у доски. 2) Самостоятельно составляют индивидуальную схему-протокол: кодирование вещественного и целого числа, текст, графика, десятичная проверка. Выполняется очно в обоих регламентах!</w:t>
            </w:r>
          </w:p>
        </w:tc>
        <w:tc>
          <w:tcPr>
            <w:tcW w:w="1859" w:type="pct"/>
            <w:gridSpan w:val="2"/>
          </w:tcPr>
          <w:p>
            <w:r>
              <w:t>ОК 02, ОК 04, ОК 05, ПК 4.1, ПК 4.2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Оценить достижение дидактических результатов, провести рефлексию и инструктаж</w:t>
            </w:r>
          </w:p>
        </w:tc>
        <w:tc>
          <w:tcPr>
            <w:tcW w:w="1859" w:type="pct"/>
            <w:gridSpan w:val="2"/>
          </w:tcPr>
          <w:p>
            <w:r>
              <w:t>15 мин (80-мин: 10 обратн. связь+5 итог) / 12 мин (60-мин: 7+5)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разбор характерных ошибок (включение неявной единицы в мантиссу, путаница бит/байт, подсчет UTF-8). Оценивает индивидуальные продукты по 4-балльной шкале (корректность 2, объяснение 1, проверка 1). Инструктирует по резервному заданию domashnee_zadanie.html.</w:t>
            </w:r>
          </w:p>
        </w:tc>
        <w:tc>
          <w:tcPr>
            <w:tcW w:w="1864" w:type="pct"/>
            <w:gridSpan w:val="2"/>
          </w:tcPr>
          <w:p>
            <w:r>
              <w:t>Сверяют решения с эталоном, анализируют допущенные неточности, сохраняют чистовой протокол в PDF или сдают бланки, фиксируют домашнее задание.</w:t>
            </w:r>
          </w:p>
        </w:tc>
        <w:tc>
          <w:tcPr>
            <w:tcW w:w="1859" w:type="pct"/>
            <w:gridSpan w:val="2"/>
          </w:tcPr>
          <w:p>
            <w:r>
              <w:t>ОК 01, ОК 04, ОК 09, ОК 10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