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3. Этапы проектирования баз данных — Практическое занятие №5: записи и логические условия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3. Этапы проектирования баз данных — Практическое занятие №5: записи и логические условия, Занятие №17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Практическое занятие (формирование и закрепление умений и навыков)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Практическое занятие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развивающее обучение, кейс-метод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систему фундаментальных теоретических знаний и базовых практических умений в области проверки качества декомпозиции реляционных схем: освоение свойства соединения без потерь данных (Lossless-Join) и предотвращение появления ложных кортежей (Spurious Tuples), проверка декомпозиции по теореме Риссанена и алгоритму табло, анализ сохранения функциональных зависимостей (Dependency Preservation), выявление многозначных зависимостей (MVD) и зависимостей соединения (JD) для перехода к 4НФ и 5НФ, а также понимание условий обоснованной денормализации в аналитических системах (OLAP).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>
        <w:t>Задачи занятия: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свойство соединения без потерь (Lossless-Join); освоить теорему Риссанена для бинарной декомпозиции; освоить алгоритм табло (Tableau Algorithm); изучить условие сохранения функциональных зависимостей; изучить природу многозначных зависимостей (MVD) и теорему Фейгина (4НФ); рассмотреть зависимости соединения (JD) и 5НФ; изучить границы нормализации и правила контролируемой денормализации в OLAP;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математическую строгость и системное инженерное мышление при проверке качества декомпозиции схемы БД; формировать способность прогнозировать аномалии данных и появление ложных кортежей на основе контрпримеров;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содействовать формированию профессиональной ответственности за архитектурную надежность и транзакционную достоверность корпоративных баз данных.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 Знания: формулировка и условия теоремы Риссанена; шаги алгоритма табло; определение свойства соединения без потерь и сохранения ФЗ; определение MVD и критерии 4НФ; назначение 5НФ; принципы денормализации в OLAP и компенсирующие механизмы. Умения: проверять бинарную декомпозицию по критерию Риссанена; вычислять замыкание атрибутов; строить матрицы табло; выявлять ложные кортежи; приводить отношения с MVD к 4НФ; проектировать триггеры и механизмы синхронизации денормализованных витрин данных.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современным веб-браузером, комплект интерактивных веб-материалов (интерактивный рабочий лист zanyatie.html, презентация prezentaciya.html, теоретический конспект lekciya.html, критериальная рубрика .rubrika.md), мультимедийный проектор.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Кузнецов С. Д. Основы баз данных. — 2-е изд. — М.: Интернет-Университет Информационных Технологий; БИНОМ. Лаборатория знаний, 2017. — 272 с.</w:t>
        <w:br/>
        <w:t>2. Дейт К. Дж. Введение в системы баз данных. — 8-е изд. — М.: Издательский дом «Вильямс», 2018. — 1328 с.</w:t>
        <w:br/>
        <w:t>3. Гарсиа-Молина Г., Ульман Дж., Уидом Дж. Системы баз данных. Полный курс. — М.: Издательский дом «Вильямс», 2020. — 1088 с.</w:t>
        <w:br/>
        <w:t>4. Коннолли Т., Бегг К. Базы данных. Проектирование, реализация и сопровождение. Теория и практика. — 3-е изд. — М.: Издательский дом «Вильямс», 2017. — 1440 с.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Приложение 1. Развернутый сценарий проведения учебного занятия</w:t>
      </w:r>
    </w:p>
    <w:p>
      <w:r>
        <w:t>Этап 1. Организационный момент и проблемная мотивация (80 мин: 5 мин / 60 мин: 3 мин)</w:t>
        <w:br/>
        <w:t>Преподаватель приветствует обучающихся, отмечает явку и ставит мотивационный кейс: сбой в работе маркетплейса при формировании заказов из-за некорректного соединения таблиц по неключевому атрибуту Город, повлекший показ чужих покупок и ложные финансовые начисления (генерация паразитных строк).</w:t>
      </w:r>
    </w:p>
    <w:p>
      <w:r>
        <w:t>Этап 2. Актуализация опорных знаний (80 мин: 8 мин / 60 мин: 5 мин)</w:t>
        <w:br/>
        <w:t>Фронтальный блиц-опрос: понятие функциональной зависимости, замыкание множества атрибутов, потенциальный ключ, первичный ключ, нормальные формы 1НФ–3НФ и НФБК. Обсуждение проблемы: гарантирует ли 3НФ отсутствие искажений при соединении таблиц?</w:t>
      </w:r>
    </w:p>
    <w:p>
      <w:r>
        <w:t>Этап 3. Сообщение новых теоретических знаний (80 мин: 32 мин / 60 мин: 27 мин)</w:t>
        <w:br/>
        <w:t>Демонстрация интерактивной презентации (слайды 2–14): свойство соединения без потерь (Lossless-Join) и природа ложных кортежей (Spurious Tuples); теорема Йормы Риссанена для бинарной декомпозиции; алгоритм табло (Tableau Algorithm) для k отношений; сохранение функциональных зависимостей (Dependency Preservation); многозначные зависимости (MVD) и 4-я нормальная форма (теорема Фейгина); зависимости соединения (JD) и 5НФ (PJNF); контролируемая денормализация в аналитических хранилищах (OLAP, Star Schema) и компенсирующие механизмы синхронизации данных.</w:t>
      </w:r>
    </w:p>
    <w:p>
      <w:r>
        <w:t>Этап 4. Демонстрация сквозного инженерного кейса (80 мин: 12 мин / 60 мин: 10 мин)</w:t>
        <w:br/>
        <w:t>Преподаватель на экране разбирает доказательство соединения без потерь по Риссанену для схемы R(A, B, C) с зависимостью A → B при декомпозиции на (A, B) и (A, C) в сравнении с декомпозицией на (A, B) и (B, C), демонстрируя появление 2 ложных кортежей на числовых данных и вывод строки универсальных символов в матрице табло.</w:t>
      </w:r>
    </w:p>
    <w:p>
      <w:r>
        <w:t>Этап 5. Первичное закрепление и экспресс-практикум (80 мин: 15 мин / 60 мин: 11 мин)</w:t>
        <w:br/>
        <w:t>Самостоятельная работа студентов в интерактивном листе zanyatie.html по 4 вариантам (Вариант 1: R(A,B,C) и Риссанен; Вариант 2: Маркетплейс и расчет суммы; Вариант 3: Преподаватели, курсы и 4НФ; Вариант 4: Высоконагруженная витрина данных и OLAP). Консультации преподавателя и контроль фиксации ответов в локальном хранилище браузера.</w:t>
      </w:r>
    </w:p>
    <w:p>
      <w:r>
        <w:t>Этап 6. Итог занятия, рефлексия и оценка (80 мин: 8 мин / 60 мин: 4 мин)</w:t>
        <w:br/>
        <w:t>Экспертный разбор типичных студенческих ошибок (путаница между потерей строк и генерацией ложных кортежей, отказ от исторической фиксации цен). Показ слайда 15 с веб-комиксом Bobby Tables (xkcd #327), напоминающим о важности строгой архитектурной дисциплины. Выставление отметок по 4-балльной закрытой рубрике (.rubrika.md), инструктаж по экспорту в PDF и условиям сдачи резервного ДЗ (domashnee_zadanie.html).</w:t>
      </w:r>
    </w:p>
    <w:p>
      <w:r>
        <w:t>Приложение 2. Варианты практических заданий для обучающихся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t>Вариант</w:t>
            </w:r>
          </w:p>
        </w:tc>
        <w:tc>
          <w:tcPr>
            <w:tcW w:type="dxa" w:w="2480"/>
          </w:tcPr>
          <w:p>
            <w:r>
              <w:t>Предметная область и схема</w:t>
            </w:r>
          </w:p>
        </w:tc>
        <w:tc>
          <w:tcPr>
            <w:tcW w:type="dxa" w:w="2480"/>
          </w:tcPr>
          <w:p>
            <w:r>
              <w:t>Исследуемые зависимости и коллизии</w:t>
            </w:r>
          </w:p>
        </w:tc>
        <w:tc>
          <w:tcPr>
            <w:tcW w:type="dxa" w:w="2480"/>
          </w:tcPr>
          <w:p>
            <w:r>
              <w:t>Резолюция и проектное решение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База данных «Интернет-аптека»</w:t>
            </w:r>
          </w:p>
        </w:tc>
        <w:tc>
          <w:tcPr>
            <w:tcW w:type="dxa" w:w="2480"/>
          </w:tcPr>
          <w:p>
            <w:r>
              <w:t>Повышение цены на 10% для товаров категории 'Витамины' с остатком BETWEEN 5 AND 50 И датой годности &gt; '2026-12-31'.</w:t>
            </w:r>
          </w:p>
        </w:tc>
        <w:tc>
          <w:tcPr>
            <w:tcW w:type="dxa" w:w="2480"/>
          </w:tcPr>
          <w:p>
            <w:r>
              <w:t>WHERE category = 'Витамины' AND stock_quantity BETWEEN 5 AND 50 AND expiration_date &gt; '2026-12-31'; протокол до/после.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База данных «Автосалон»</w:t>
            </w:r>
          </w:p>
        </w:tc>
        <w:tc>
          <w:tcPr>
            <w:tcW w:type="dxa" w:w="2480"/>
          </w:tcPr>
          <w:p>
            <w:r>
              <w:t>Перевод в статус 'Забронирован' для автомобилей марки 'Toyota' ИЛИ 'Lexus' с годом выпуска &gt;= 2023 И пробегом &lt; 15000.</w:t>
            </w:r>
          </w:p>
        </w:tc>
        <w:tc>
          <w:tcPr>
            <w:tcW w:type="dxa" w:w="2480"/>
          </w:tcPr>
          <w:p>
            <w:r>
              <w:t>WHERE (brand = 'Toyota' OR brand = 'Lexus') AND year_manufactured &gt;= 2023 AND mileage &lt; 15000; обязательные скобки для OR.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База данных «Кадровое агентство»</w:t>
            </w:r>
          </w:p>
        </w:tc>
        <w:tc>
          <w:tcPr>
            <w:tcW w:type="dxa" w:w="2480"/>
          </w:tcPr>
          <w:p>
            <w:r>
              <w:t>Обновление статуса доступности ('Готов к офферу') для соискателей с опытом IN ('Senior', 'Lead') И знанием 'PostgreSQL' без даты найма (Дата_найма IS NULL).</w:t>
            </w:r>
          </w:p>
        </w:tc>
        <w:tc>
          <w:tcPr>
            <w:tcW w:type="dxa" w:w="2480"/>
          </w:tcPr>
          <w:p>
            <w:r>
              <w:t>WHERE experience_level IN ('Senior', 'Lead') AND skills LIKE '%PostgreSQL%' AND hire_date IS NULL; учет 3VL при проверке отсутствия найма.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База данных «Складской терминал»</w:t>
            </w:r>
          </w:p>
        </w:tc>
        <w:tc>
          <w:tcPr>
            <w:tcW w:type="dxa" w:w="2480"/>
          </w:tcPr>
          <w:p>
            <w:r>
              <w:t>Списание неликвида в статус 'Утилизация' для поставщика 'Логистик-Групп' при наличии дефектов (defect_count &gt; 0) ИЛИ сроке хранения &gt; 180 дней.</w:t>
            </w:r>
          </w:p>
        </w:tc>
        <w:tc>
          <w:tcPr>
            <w:tcW w:type="dxa" w:w="2480"/>
          </w:tcPr>
          <w:p>
            <w:r>
              <w:t>WHERE supplier = 'Логистик-Групп' AND (defect_count &gt; 0 OR storage_days &gt; 180); группировка дизъюнкции условий списания.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