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Нормализация БД: проверка связей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Нормализация БД: проверка связей, Занятие №16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базовых практических умений в области проверки качества декомпозиции реляционных схем: освоение свойства соединения без потерь данных (Lossless-Join) и предотвращение появления ложных кортежей (Spurious Tuples), проверка декомпозиции по теореме Риссанена и алгоритму табло, анализ сохранения функциональных зависимостей (Dependency Preservation), выявление многозначных зависимостей (MVD) и зависимостей соединения (JD) для перехода к 4НФ и 5НФ, а также понимание условий обоснованной денормализации в аналитических системах (OLAP).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свойство соединения без потерь (Lossless-Join); освоить теорему Риссанена для бинарной декомпозиции; освоить алгоритм табло (Tableau Algorithm); изучить условие сохранения функциональных зависимостей; изучить природу многозначных зависимостей (MVD) и теорему Фейгина (4НФ); рассмотреть зависимости соединения (JD) и 5НФ; изучить границы нормализации и правила контролируемой денормализации в OLAP;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формулировка и условия теоремы Риссанена; шаги алгоритма табло; определение свойства соединения без потерь и сохранения ФЗ; определение MVD и критерии 4НФ; назначение 5НФ; принципы денормализации в OLAP и компенсирующие механизмы. Умения: проверять бинарную декомпозицию по критерию Риссанена; вычислять замыкание атрибутов; строить матрицы табло; выявлять ложные кортежи; приводить отношения с MVD к 4НФ; проектировать триггеры и механизмы синхронизации денормализованных витрин данных.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обучающихся, отмечает явку и ставит мотивационный кейс: сбой в работе маркетплейса при формировании заказов из-за некорректного соединения таблиц по неключевому атрибуту Город, повлекший показ чужих покупок и ложные финансовые начисления (генерация паразитных строк).</w:t>
      </w:r>
    </w:p>
    <w:p>
      <w:r>
        <w:t>Этап 2. Актуализация опорных знаний (80 мин: 8 мин / 60 мин: 5 мин)</w:t>
        <w:br/>
        <w:t>Фронтальный блиц-опрос: понятие функциональной зависимости, замыкание множества атрибутов, потенциальный ключ, первичный ключ, нормальные формы 1НФ–3НФ и НФБК. Обсуждение проблемы: гарантирует ли 3НФ отсутствие искажений при соединении таблиц?</w:t>
      </w:r>
    </w:p>
    <w:p>
      <w:r>
        <w:t>Этап 3. Сообщение новых теоретических знаний (80 мин: 32 мин / 60 мин: 27 мин)</w:t>
        <w:br/>
        <w:t>Демонстрация интерактивной презентации (слайды 2–14): свойство соединения без потерь (Lossless-Join) и природа ложных кортежей (Spurious Tuples); теорема Йормы Риссанена для бинарной декомпозиции; алгоритм табло (Tableau Algorithm) для k отношений; сохранение функциональных зависимостей (Dependency Preservation); многозначные зависимости (MVD) и 4-я нормальная форма (теорема Фейгина); зависимости соединения (JD) и 5НФ (PJNF); контролируемая денормализация в аналитических хранилищах (OLAP, Star Schema) и компенсирующие механизмы синхронизации данных.</w:t>
      </w:r>
    </w:p>
    <w:p>
      <w:r>
        <w:t>Этап 4. Демонстрация сквозного инженерного кейса (80 мин: 12 мин / 60 мин: 10 мин)</w:t>
        <w:br/>
        <w:t>Преподаватель на экране разбирает доказательство соединения без потерь по Риссанену для схемы R(A, B, C) с зависимостью A → B при декомпозиции на (A, B) и (A, C) в сравнении с декомпозицией на (A, B) и (B, C), демонстрируя появление 2 ложных кортежей на числовых данных и вывод строки универсальных символов в матрице табло.</w:t>
      </w:r>
    </w:p>
    <w:p>
      <w:r>
        <w:t>Этап 5. Первичное закрепление и экспресс-практикум (80 мин: 15 мин / 60 мин: 11 мин)</w:t>
        <w:br/>
        <w:t>Самостоятельная работа студентов в интерактивном листе zanyatie.html по 4 вариантам (Вариант 1: R(A,B,C) и Риссанен; Вариант 2: Маркетплейс и расчет суммы; Вариант 3: Преподаватели, курсы и 4НФ; Вариант 4: Высоконагруженная витрина данных и OLAP). Консультации преподавателя и контроль фиксации ответов в локальном хранилище браузера.</w:t>
      </w:r>
    </w:p>
    <w:p>
      <w:r>
        <w:t>Этап 6. Итог занятия, рефлексия и оценка (80 мин: 8 мин / 60 мин: 4 мин)</w:t>
        <w:br/>
        <w:t>Экспертный разбор типичных студенческих ошибок (путаница между потерей строк и генерацией ложных кортежей, отказ от исторической фиксации цен). Показ слайда 15 с веб-комиксом Bobby Tables (xkcd #327), напоминающим о важности строгой архитектурной дисциплины. Выставление отметок по 4-балльной закрытой рубрике (.rubrika.md), инструктаж по экспорту в PDF и условиям сдачи резервного ДЗ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Отношение R(A, B, C) с ФЗ {A → B}</w:t>
            </w:r>
          </w:p>
        </w:tc>
        <w:tc>
          <w:tcPr>
            <w:tcW w:type="dxa" w:w="2480"/>
          </w:tcPr>
          <w:p>
            <w:r>
              <w:t>Сравнение декомпозиций: D1 = {(A,B), (A,C)} vs D2 = {(A,B), (B,C)}.</w:t>
            </w:r>
          </w:p>
        </w:tc>
        <w:tc>
          <w:tcPr>
            <w:tcW w:type="dxa" w:w="2480"/>
          </w:tcPr>
          <w:p>
            <w:r>
              <w:t>По Риссанену: D1 — без потерь (A — ключ R1). D2 — декомпозиция с потерями, порождает 2 ложных кортежа.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Заказы маркетплейса: R(Заказ, Артикул, Кол-во, Цена, Сумма)</w:t>
            </w:r>
          </w:p>
        </w:tc>
        <w:tc>
          <w:tcPr>
            <w:tcW w:type="dxa" w:w="2480"/>
          </w:tcPr>
          <w:p>
            <w:r>
              <w:t>Сохранение зависимости {Кол-во, Цена} → Сумма при декомпозиции; историчность цен.</w:t>
            </w:r>
          </w:p>
        </w:tc>
        <w:tc>
          <w:tcPr>
            <w:tcW w:type="dxa" w:w="2480"/>
          </w:tcPr>
          <w:p>
            <w:r>
              <w:t>Запрет удаления цены из заказа (Point-in-time); генерация поля Сумма через CHECK/GENERATED column; 3НФ с сохранением ФЗ.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Отношение R(Преподаватель, Дисциплина, Учебник)</w:t>
            </w:r>
          </w:p>
        </w:tc>
        <w:tc>
          <w:tcPr>
            <w:tcW w:type="dxa" w:w="2480"/>
          </w:tcPr>
          <w:p>
            <w:r>
              <w:t>Независимые множества фактов: MVD Преподаватель ↠ Дисциплина и Преподаватель ↠ Учебник; взрыв строк.</w:t>
            </w:r>
          </w:p>
        </w:tc>
        <w:tc>
          <w:tcPr>
            <w:tcW w:type="dxa" w:w="2480"/>
          </w:tcPr>
          <w:p>
            <w:r>
              <w:t>Декомпозиция по теореме Фейгина в 4НФ: R1(Преподаватель, Дисциплина) и R2(Преподаватель, Учебник); сокращение объема хранения.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Высоконагруженная аналитическая витрина интернет-магазина</w:t>
            </w:r>
          </w:p>
        </w:tc>
        <w:tc>
          <w:tcPr>
            <w:tcW w:type="dxa" w:w="2480"/>
          </w:tcPr>
          <w:p>
            <w:r>
              <w:t>Проблема JOIN по 50 млн строк в сутки; денормализация Названия_товара в строки чека.</w:t>
            </w:r>
          </w:p>
        </w:tc>
        <w:tc>
          <w:tcPr>
            <w:tcW w:type="dxa" w:w="2480"/>
          </w:tcPr>
          <w:p>
            <w:r>
              <w:t>Обоснование контролируемой денормализации витрины (OLAP); внедрение компенсирующих триггеров и потоков CDC для защиты от рассинхронизации.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