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Концептуальное проектирование БД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Концептуальное проектирование БД, Занятие №14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базовых практических умений в области концептуального инфологического проектирования баз данных: освоение нисходящей, восходящей и смешанной стратегий, вербализация требований пользователей, моделирование локальных представлений (User Views) и их гармоничная интеграция в глобальную концептуальную модель с выявлением и разрешением именных, структурных конфликтов и конфликтов ограничений.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место концептуального этапа в жизненном цикле БД (ANSI/SPARC); освоить стратегии проектирования (Top-Down, Bottom-Up, Mixed); освоить сбор и вербализацию требований; изучить архитектуру локальных представлений (User Views); освоить классификацию и методы разрешения конфликтов интеграции (синонимы, омонимы, сущность vs атрибут, кардинальности связей, ограничения целостности);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и системное инженерное мышление при интеграции гетерогенных требований подразделений предприятия; формировать культуру семантического абстрагирования от деталей физической реализации;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непротиворечивость концептуальных моделей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классификация стратегий проектирования БД; правила лингвистической вербализации требований; структура User Views; типы конфликтов интеграции представлений и алгоритмы их устранения. Умения: проводить лингвистический анализ спецификаций; строить локальные концептуальные схемы; выявлять синонимы и омонимы; разрешать структурные конфликты сущность vs атрибут; согласовывать кардинальности связей в глобальной ER-модели. Компетенции: ОК 01, ОК 02, ОК 04, ПК 1.1, ПК 1.2, ПК 1.5.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обучающихся, отмечает явку и ставит мотивационный кейс: конфликт между базами Склада и Бухгалтерии из-за несогласованности понятий Товар и Номенклатура при объединении в общую ERP-систему, приведший к срыву сроков проекта.</w:t>
      </w:r>
    </w:p>
    <w:p>
      <w:r>
        <w:t>Этап 2. Актуализация опорных знаний (80 мин: 8 мин / 60 мин: 5 мин)</w:t>
        <w:br/>
        <w:t>Фронтальный блиц-опрос: архитектура ANSI/SPARC, место концептуального уровня, базовые элементы ER-моделирования (сущность, экземпляр, атрибут, кардинальность связей 1:1, 1:N, M:N). Независимость концептуальной модели от целевой СУБД.</w:t>
      </w:r>
    </w:p>
    <w:p>
      <w:r>
        <w:t>Этап 3. Сообщение новых теоретических знаний (80 мин: 32 мин / 60 мин: 27 мин)</w:t>
        <w:br/>
        <w:t>Демонстрация интерактивной презентации (слайды 2–13): 4 стратегии проектирования (Top-Down, Bottom-Up, Inside-Out, Mixed); сбор и вербализация требований пользователей; архитектура локальных концептуальных представлений (User Views); детальная классификация конфликтов интеграции (синонимы, омонимы, структурный конфликт «сущность vs атрибут vs связь», конфликты кардинальностей и ограничений); пошаговый алгоритм слияния представлений.</w:t>
      </w:r>
    </w:p>
    <w:p>
      <w:r>
        <w:t>Этап 4. Демонстрация сквозного кейса интеграции (80 мин: 12 мин / 60 мин: 10 мин)</w:t>
        <w:br/>
        <w:t>Преподаватель на экране демонстрирует пошаговое объединение локальных моделей Отдела продаж и Склада: обнаружение синонима Товар/Номенклатура, разрешение омонима Код, устранение структурного конфликта партии и преобразование связи M:N в ассоциативную сущность Позиция_накладной.</w:t>
      </w:r>
    </w:p>
    <w:p>
      <w:r>
        <w:t>Этап 5. Первичное закрепление и экспресс-практикум (80 мин: 15 мин / 60 мин: 11 мин)</w:t>
        <w:br/>
        <w:t>Самостоятельная работа студентов в интерактивном листе zanyatie.html по 4 вариантам (Торговля, Гостиница, Университет, Автопредприятие): выявление конфликтов, формирование глобальной схемы и ответы на блок самопроверки.</w:t>
      </w:r>
    </w:p>
    <w:p>
      <w:r>
        <w:t>Этап 6. Итог занятия, рефлексия и оценка (80 мин: 8 мин / 60 мин: 4 мин)</w:t>
        <w:br/>
        <w:t>Разбор типичных ошибок (поспешный переход к SQL, слияние омонимов, потеря атрибутов). Показ слайда 15 с веб-комиксом Bobby Tables (xkcd #327), напоминающим о важности концептуальной строгости моделирования. Выставление отметок по 4-балльной закрытой рубрике (.rubrika.md), инструктаж по сохранению работы в PDF и разъяснение регламента резервного ДЗ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</w:t>
            </w:r>
          </w:p>
        </w:tc>
        <w:tc>
          <w:tcPr>
            <w:tcW w:type="dxa" w:w="2480"/>
          </w:tcPr>
          <w:p>
            <w:r>
              <w:t>Интегрируемые представления и коллизии</w:t>
            </w:r>
          </w:p>
        </w:tc>
        <w:tc>
          <w:tcPr>
            <w:tcW w:type="dxa" w:w="2480"/>
          </w:tcPr>
          <w:p>
            <w:r>
              <w:t>Резолюция глобальной концептуальной модели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Торговое предприятие</w:t>
            </w:r>
          </w:p>
        </w:tc>
        <w:tc>
          <w:tcPr>
            <w:tcW w:type="dxa" w:w="2480"/>
          </w:tcPr>
          <w:p>
            <w:r>
              <w:t>Бухгалтерия {Товар, Накладная, Оплата} и Склад {Номенклатура, Ячейка, Партия}. Синоним Товар/Номенклатура, Партия как атрибут vs сущность.</w:t>
            </w:r>
          </w:p>
        </w:tc>
        <w:tc>
          <w:tcPr>
            <w:tcW w:type="dxa" w:w="2480"/>
          </w:tcPr>
          <w:p>
            <w:r>
              <w:t>Каноническая сущность Товар с объединением атрибутов; Партия возводится в сущность; ассоциативная сущность Позиция_накладной.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Гостиничный комплекс</w:t>
            </w:r>
          </w:p>
        </w:tc>
        <w:tc>
          <w:tcPr>
            <w:tcW w:type="dxa" w:w="2480"/>
          </w:tcPr>
          <w:p>
            <w:r>
              <w:t>Служба бронирования {Номер, Бронь, Гость} и Служба клининга {Помещение, Горничная, Журнал_уборок}. Омоним Номер (комната vs телефон).</w:t>
            </w:r>
          </w:p>
        </w:tc>
        <w:tc>
          <w:tcPr>
            <w:tcW w:type="dxa" w:w="2480"/>
          </w:tcPr>
          <w:p>
            <w:r>
              <w:t>Квалификация: Гостиничный_номер (сущность) vs Телефон_гостя (атрибут); объединение Помещения и Номера; Журнал_уборок как факт обслуживания.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Университет</w:t>
            </w:r>
          </w:p>
        </w:tc>
        <w:tc>
          <w:tcPr>
            <w:tcW w:type="dxa" w:w="2480"/>
          </w:tcPr>
          <w:p>
            <w:r>
              <w:t>Учебный отдел {Студент, Группа, Сессия} и Общежитие {Жилец, Комната, Договор_найма}. Синонимы Студент/Жилец.</w:t>
            </w:r>
          </w:p>
        </w:tc>
        <w:tc>
          <w:tcPr>
            <w:tcW w:type="dxa" w:w="2480"/>
          </w:tcPr>
          <w:p>
            <w:r>
              <w:t>Каноническая сущность Студент (Жильцы ⊆ Студенты); слияние по номеру зачетки; опциональная связь Студент — Договор_найма (0..N).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Автопредприятие</w:t>
            </w:r>
          </w:p>
        </w:tc>
        <w:tc>
          <w:tcPr>
            <w:tcW w:type="dxa" w:w="2480"/>
          </w:tcPr>
          <w:p>
            <w:r>
              <w:t>Диспетчерская {Машина, Рейс, Водитель} и Ремзона {ТС, Дефект, Запчасть}. Синоним Машина/ТС, конфликт кардинальности 1:1 vs M:N.</w:t>
            </w:r>
          </w:p>
        </w:tc>
        <w:tc>
          <w:tcPr>
            <w:tcW w:type="dxa" w:w="2480"/>
          </w:tcPr>
          <w:p>
            <w:r>
              <w:t>Каноническая сущность Транспортное_средство; принятие кардинальности M:N для водителей и машин через стержневую сущность Путевой_лист.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