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Тема 2. Взаимосвязи в моделях и реляционный подход к построению моделей — Практическое занятие №3: сущности и связи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t>Тема занятия, номер занятия по теме: Тема 2. Взаимосвязи в моделях и реляционный подход к построению моделей — Практическое занятие №3: сущности и связи, Занятие №11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>
        <w:t>Тип занятия: Практическое занятие (формирование и закрепление умений и навыков)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>
        <w:t>Вид занятия: Практическое занятие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>
        <w:t>Используемые педагогические технологии: Информационно-коммуникационные технологии, технология проблемного обучения, системно-деятельностный подход, развивающее обучение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t>Цель занятия: Сформировать у обучающихся практические навыки преобразования концептуальных сущностей и бинарных связей (1:1, 1:M, M:N) в реляционные структуры таблиц, проектирования промежуточных ассоциативных таблиц с составными первичными ключами, атрибутами связи и настройки ссылочной целостности.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Задачи</w:t>
      </w:r>
      <w:r>
        <w:rPr>
          <w:b/>
          <w:bCs/>
        </w:rPr>
        <w:t xml:space="preserve"> занятия</w:t>
      </w:r>
      <w:r w:rsidRPr="00DA6104">
        <w:rPr>
          <w:b/>
          <w:bCs/>
        </w:rPr>
        <w:t>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обучающие: освоить правила трансляции сильных и слабых сущностей в таблицы, алгоритм миграции внешних ключей в связях 1:M, механизм декомпозиции связей M:N через ассоциативные таблицы, правила выбора каскадных действий (RESTRICT, CASCADE, SET NULL);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развивающие: развивать аналитическое мышление при выделении сущностей и атрибутов взаимодействия, навыки предотвращения аномалий обновления и удаления данных в реляционных схемах;</w:t>
      </w:r>
    </w:p>
    <w:p w14:paraId="5C64663F" w14:textId="10CD1F58" w:rsidR="00DA6104" w:rsidRDefault="00DA6104" w:rsidP="00DA6104">
      <w:pPr>
        <w:ind w:left="360"/>
        <w:jc w:val="both"/>
      </w:pPr>
      <w:r>
        <w:t>воспитательные: воспитывать профессиональную ответственность за архитектурную чистоту структуры баз данных и сохранность исторических данных организации.</w:t>
      </w:r>
    </w:p>
    <w:p w14:paraId="283820E7" w14:textId="36020FB4" w:rsidR="00DA6104" w:rsidRPr="00DA6104" w:rsidRDefault="00DA6104" w:rsidP="00DA6104">
      <w:pPr>
        <w:ind w:left="360"/>
        <w:jc w:val="both"/>
      </w:pPr>
      <w:r>
        <w:t>Знания: правила трансляции сильных и слабых сущностей, отображение связей 1:1, 1:M, M:N, структура ассоциативных таблиц, ссылочная целостность (ON DELETE / UPDATE); Умения: преобразовывать ER-диаграммы в реляционные таблицы, составлять DDL-скрипты с составными первичными ключами и внешними ключами.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>
        <w:t>Оборудование (материалы): Персональные компьютеры с установленным веб-браузером, комплект локальных учебно-методических интерактивных материалов, мультимедийный проектор, аудиторная маркерная доска.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(содержание этапа: приветствие обучающихся, наводящие вопросы на определение темы занятия, вопросы по проверке домашнего задания, план занятия и т.д.)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(лекционный материал или описание практических заданий, вопросы по ходу изложения лекционного материала и т.д.) 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(Вопросы по изучению лекционного материала, задания по пройденному материалу и т.д.)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(выставление оценок, описание рефлексии, домашнее задание)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bookmarkStart w:id="2" w:name="_Hlk208392113"/>
      <w:r w:rsidRPr="00000C03">
        <w:rPr>
          <w:b/>
        </w:rPr>
        <w:t>Список использованных источников</w:t>
      </w:r>
      <w:r>
        <w:rPr>
          <w:b/>
        </w:rPr>
        <w:t>: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/>
    <w:p>
      <w:r>
        <w:rPr>
          <w:b/>
          <w:sz w:val="28"/>
        </w:rPr>
        <w:t>Приложение 1. Развернутый сценарий проведения учебного занятия</w:t>
      </w:r>
    </w:p>
    <w:p>
      <w:r>
        <w:t>Этап 1. Организационный момент и мотивация (80 мин: 7 мин / 60 мин: 5 мин)</w:t>
      </w:r>
    </w:p>
    <w:p>
      <w:r>
        <w:t>Преподаватель приветствует обучающихся, отмечает явку и организует проблемную беседу.</w:t>
        <w:br/>
        <w:t>Слова преподавателя: «Здравствуйте, коллеги! На прошлых занятиях мы изучили реляционную алгебру и основы реляционной модели данных. Сегодня мы переходим к практической трансляции концептуальных ER-диаграмм в реальные таблицы реляционных СУБД. Главный вопрос: почему СУБД не умеет связывать таблицы многие-ко-многим напрямую и как разрешить эту проблему без потери данных?»</w:t>
        <w:br/>
        <w:t>Ответ обучающегося: «В реляционной таблице действует правило атомарности значений (1NF). Мы не можем записать в одну ячейку список ID через запятую, а внешний ключ может ссылаться только на одну строку. Поэтому связь M:N разбивается на две связи 1:M через связующую таблицу!»</w:t>
        <w:br/>
        <w:t>Преподаватель: «Абсолютно верно! Сегодня мы научимся проектировать связующие таблицы, составные ключи и каскадные политики.»</w:t>
      </w:r>
    </w:p>
    <w:p>
      <w:r>
        <w:t>Этап 2. Вводный инструктаж и методология трансляции (80 мин: 23 мин / 60 мин: 15 мин)</w:t>
      </w:r>
    </w:p>
    <w:p>
      <w:r>
        <w:t>Преподаватель излагает правила трансляции, демонстрируя презентацию (слайды 1–14).</w:t>
        <w:br/>
        <w:t>Слова преподавателя: «1. Сильные сущности становятся базовыми таблицами с суррогатным PK и UNIQUE-ключами.</w:t>
        <w:br/>
        <w:t>2. Слабые сущности получают FK владельца и составной PK с ON DELETE CASCADE.</w:t>
        <w:br/>
        <w:t>3. В связях 1:M внешний ключ ВСЕГДА мигрирует в таблицу на стороне "Многие".</w:t>
        <w:br/>
        <w:t>4. Связи M:N строго декомпозируются на две 1:M через ассоциативную таблицу (Junction Table) с составным PK (fk_1, fk_2).</w:t>
        <w:br/>
        <w:t>5. Атрибуты связи (роль персонажа, цена на момент заказа, гонорар) обязаны храниться в ассоциативной таблице, а не в базовых сущностях.</w:t>
        <w:br/>
        <w:t>6. Ссылочная целостность: для справочников и клиентов используется RESTRICT, для зависимых строк спецификаций — CASCADE.»</w:t>
      </w:r>
    </w:p>
    <w:p>
      <w:r>
        <w:t>Этап 3. Демонстрация сквозного эталона трансляции (80 мин: 10 мин / 60 мин: 7 мин)</w:t>
      </w:r>
    </w:p>
    <w:p>
      <w:r>
        <w:t>Преподаватель демонстрирует сквозной эталон: Медицинская система (Врачи — Приемы — Пациенты).</w:t>
        <w:br/>
        <w:t>Шаг 1. Сущности: Врачи (vrachi) и Пациенты (pacienty) — сильные сущности с суррогатными ключами.</w:t>
        <w:br/>
        <w:t>Шаг 2. Разрешение M:N: создается связующая таблица priemy_vracha с внешними ключами id_vracha и id_pacienta.</w:t>
        <w:br/>
        <w:t>Шаг 3. Атрибуты связи: дата_время приема, номер кабинета, стоимость приема.</w:t>
        <w:br/>
        <w:t>Шаг 4. Ключи и целостность: первичный ключ priemy_vracha, внешние ключи с политикой ON DELETE RESTRICT (защита медицинского архива), ограничение UNIQUE(id_vracha, data_vremya).</w:t>
      </w:r>
    </w:p>
    <w:p>
      <w:r>
        <w:t>Этап 4. Практическая работа обучающихся (80 мин: 25 мин / 60 мин: 21 мин)</w:t>
      </w:r>
    </w:p>
    <w:p>
      <w:r>
        <w:t>Обучающиеся открывают интерактивный лист zanyatie.html и выполняют проектирование по одному из 4 вариантов:</w:t>
        <w:br/>
        <w:t>- Вариант 1: Онлайн-кинотеатр (Фильм, Актер, Режиссер; M:N Актеры-Фильмы, 1:M Режиссер-Фильмы).</w:t>
        <w:br/>
        <w:t>- Вариант 2: Доставка еды (Клиент, Заказ, Блюдо; M:N Заказ-Блюда через Позиция_заказа, 1:M Клиент-Заказы).</w:t>
        <w:br/>
        <w:t>- Вариант 3: Фитнес-клуб (Клиент, Тренер, Абонемент, Тренировка; M:N Клиенты-Тренеры через Индивидуальные_тренировки).</w:t>
        <w:br/>
        <w:t>- Вариант 4: Ритейл-маркетплейс (Покупатель, Товар, Корзина_покупок, Скидочный_купон; 1:1, 1:M, M:N).</w:t>
        <w:br/>
        <w:t>Преподаватель контролирует самостоятельную работу, консультирует по типам данных и ключам.</w:t>
      </w:r>
    </w:p>
    <w:p>
      <w:r>
        <w:t>Этап 5. Экспертный разбор типичных ошибок (80 мин: 10 мин / 60 мин: 8 мин)</w:t>
      </w:r>
    </w:p>
    <w:p>
      <w:r>
        <w:t>Преподаватель разбирает характерные ошибки: «Обратите внимание на вариант 2: атрибут "Цена на момент заказа" категорически нельзя брать динамически из таблицы блюд — при смене цен исказится сумма закрытых чеков! В варианте 4: связь 1:1 "Покупатель — Корзина" реализуется через совпадение PK и FK в корзине. Демонстрируется слайд 15 с культовым веб-комиксом xkcd про Little Bobby Tables.»</w:t>
      </w:r>
    </w:p>
    <w:p>
      <w:r>
        <w:t>Этап 6. Итог занятия, рефлексия и оценка (80 мин: 5 мин / 60 мин: 4 мин)</w:t>
      </w:r>
    </w:p>
    <w:p>
      <w:r>
        <w:t>Преподаватель подводит итоги: «Сегодня вы освоили методологию преобразования ER-диаграмм в реляционные таблицы. Оценивание производится по 4-балльной шкале (трансляция сущностей 2 б., связи 1:M и M:N 1 б., внешние ключи и самопроверка 1 б.). Сохраните файлы в PDF для отчета. Резервное домашнее задание выполняют строго отсутствовавшие студенты по назначению. Спасибо за работу!»</w:t>
      </w:r>
    </w:p>
    <w:p/>
    <w:p>
      <w:r>
        <w:rPr>
          <w:b/>
          <w:sz w:val="28"/>
        </w:rPr>
        <w:t>Приложение 2. Варианты практических заданий для обучающихся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c>
          <w:tcPr>
            <w:tcW w:type="dxa" w:w="2480"/>
          </w:tcPr>
          <w:p>
            <w:r>
              <w:rPr>
                <w:b/>
              </w:rPr>
              <w:t>Вариант</w:t>
            </w:r>
          </w:p>
        </w:tc>
        <w:tc>
          <w:tcPr>
            <w:tcW w:type="dxa" w:w="2480"/>
          </w:tcPr>
          <w:p>
            <w:r>
              <w:rPr>
                <w:b/>
              </w:rPr>
              <w:t>Предметная область</w:t>
            </w:r>
          </w:p>
        </w:tc>
        <w:tc>
          <w:tcPr>
            <w:tcW w:type="dxa" w:w="2480"/>
          </w:tcPr>
          <w:p>
            <w:r>
              <w:t>Таблицы и обоснование ключей</w:t>
            </w:r>
          </w:p>
        </w:tc>
        <w:tc>
          <w:tcPr>
            <w:tcW w:type="dxa" w:w="2480"/>
          </w:tcPr>
          <w:p>
            <w:r>
              <w:t>Критическое ограничение CHECK и каскад</w:t>
            </w:r>
          </w:p>
        </w:tc>
      </w:tr>
      <w:tr>
        <w:tc>
          <w:tcPr>
            <w:tcW w:type="dxa" w:w="2480"/>
          </w:tcPr>
          <w:p>
            <w:r>
              <w:t>Вариант 1</w:t>
            </w:r>
          </w:p>
        </w:tc>
        <w:tc>
          <w:tcPr>
            <w:tcW w:type="dxa" w:w="2480"/>
          </w:tcPr>
          <w:p>
            <w:r>
              <w:t>Система онлайн-кинотеатра</w:t>
            </w:r>
          </w:p>
        </w:tc>
        <w:tc>
          <w:tcPr>
            <w:tcW w:type="dxa" w:w="2480"/>
          </w:tcPr>
          <w:p>
            <w:r>
              <w:t>Сущности Фильм, Актер, Режиссер; связь M:N Актеры-Фильмы через таблицу Фильм_Актер с атрибутом Роль; связь 1:M Режиссер-Фильмы</w:t>
            </w:r>
          </w:p>
        </w:tc>
        <w:tc>
          <w:tcPr>
            <w:tcW w:type="dxa" w:w="2480"/>
          </w:tcPr>
          <w:p>
            <w:r>
              <w:t>ON DELETE RESTRICT; CHECK (probeg_pri_vozvrashchenii &gt;= probeg_pri_vyezde); CHECK (rashod топлива)</w:t>
            </w:r>
          </w:p>
        </w:tc>
      </w:tr>
      <w:tr>
        <w:tc>
          <w:tcPr>
            <w:tcW w:type="dxa" w:w="2480"/>
          </w:tcPr>
          <w:p>
            <w:r>
              <w:t>Вариант 2</w:t>
            </w:r>
          </w:p>
        </w:tc>
        <w:tc>
          <w:tcPr>
            <w:tcW w:type="dxa" w:w="2480"/>
          </w:tcPr>
          <w:p>
            <w:r>
              <w:t>Служба доставки еды</w:t>
            </w:r>
          </w:p>
        </w:tc>
        <w:tc>
          <w:tcPr>
            <w:tcW w:type="dxa" w:w="2480"/>
          </w:tcPr>
          <w:p>
            <w:r>
              <w:t>Сущности Клиент, Заказ, Блюдо; связь M:N Заказ-Блюда через таблицу Позиция_заказа с атрибутами Количество и Цена_на_момент_заказа; связь 1:M Клиент-Заказы</w:t>
            </w:r>
          </w:p>
        </w:tc>
        <w:tc>
          <w:tcPr>
            <w:tcW w:type="dxa" w:w="2480"/>
          </w:tcPr>
          <w:p>
            <w:r>
              <w:t>ON DELETE RESTRICT; CHECK (data_vyezda &gt; data_zaezda); CHECK (status_broni IN (...))</w:t>
            </w:r>
          </w:p>
        </w:tc>
      </w:tr>
      <w:tr>
        <w:tc>
          <w:tcPr>
            <w:tcW w:type="dxa" w:w="2480"/>
          </w:tcPr>
          <w:p>
            <w:r>
              <w:t>Вариант 3</w:t>
            </w:r>
          </w:p>
        </w:tc>
        <w:tc>
          <w:tcPr>
            <w:tcW w:type="dxa" w:w="2480"/>
          </w:tcPr>
          <w:p>
            <w:r>
              <w:t>Фитнес-клуб</w:t>
            </w:r>
          </w:p>
        </w:tc>
        <w:tc>
          <w:tcPr>
            <w:tcW w:type="dxa" w:w="2480"/>
          </w:tcPr>
          <w:p>
            <w:r>
              <w:t>Сущности Клиент, Тренер, Абонемент, Тренировка; связь M:N Клиенты-Тренеры через журнал Индивидуальные_тренировки с датой и временем</w:t>
            </w:r>
          </w:p>
        </w:tc>
        <w:tc>
          <w:tcPr>
            <w:tcW w:type="dxa" w:w="2480"/>
          </w:tcPr>
          <w:p>
            <w:r>
              <w:t>ON DELETE RESTRICT; CHECK (srok_vozvrata &gt;= data_vydachi); CHECK (fakticheskaya_data &gt;= data_vydachi)</w:t>
            </w:r>
          </w:p>
        </w:tc>
      </w:tr>
      <w:tr>
        <w:tc>
          <w:tcPr>
            <w:tcW w:type="dxa" w:w="2480"/>
          </w:tcPr>
          <w:p>
            <w:r>
              <w:t>Вариант 4</w:t>
            </w:r>
          </w:p>
        </w:tc>
        <w:tc>
          <w:tcPr>
            <w:tcW w:type="dxa" w:w="2480"/>
          </w:tcPr>
          <w:p>
            <w:r>
              <w:t>Ритейл-маркетплейс</w:t>
            </w:r>
          </w:p>
        </w:tc>
        <w:tc>
          <w:tcPr>
            <w:tcW w:type="dxa" w:w="2480"/>
          </w:tcPr>
          <w:p>
            <w:r>
              <w:t>Сущности Покупатель, Товар, Корзина_покупок, Скидочный_купон; трансляция связей 1:1, 1:M и M:N с внешними ключами</w:t>
            </w:r>
          </w:p>
        </w:tc>
        <w:tc>
          <w:tcPr>
            <w:tcW w:type="dxa" w:w="2480"/>
          </w:tcPr>
          <w:p>
            <w:r>
              <w:t>ON DELETE CASCADE для спецификации деталей; CHECK (cena_prodazhi &gt;= cena_zakupki); CHECK (status)</w:t>
            </w:r>
          </w:p>
        </w:tc>
      </w:tr>
    </w:tbl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