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Анализ предметной области: связи и правила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1. Основные понятия баз данных — Анализ предметной области: связи и правила, Занятие №3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Комбинированный урок (изучение нового материала с практическим закреплением)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Урок с объяснением теории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системно-деятельностный подход, развивающее обучение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систему предметных знаний о связях между сущностями предметной области, типах кардинальности (1:1, 1:M, M:N) и модальности, выработать практические умения формализации бизнес-правил и семантических ограничений целостности реляционной модели данных.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фундаментальные принципы моделирования отношений (Relationships); освоить графические нотации Chen и Crow's Foot; раскрыть механизм реляционной декомпозиции связей M:N через ассоциативные сущности; освоить формулирование бизнес-правил.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аналитическое и системное мышление при структурировании неструктурированных описаний предметной области; формировать навыки выявления логических коллизий и семантических противоречий данных; развивать культуру проектирования реляционных структур.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воспитывать профессиональную ответственность за достоверность и целостность проектируемых баз данных; формировать культуру строгого следования отраслевым стандартам нормализации и защиты данных от логических аномалий.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 (знания, умения, навыки; компетенции):</w:t>
        <w:br/>
        <w:t>Знания: сущности, атрибуты и связи предметной области; типы кардинальности связей (1:1, 1:M, M:N); понятия обязательного и факультативного участия сущностей; правила реляционной декомпозиции; природа бизнес-правил и семантических ограничений целостности.</w:t>
        <w:br/>
        <w:t>Умения: выявлять связи между сущностями по вербальному описанию предметной области; определять кардинальность и степень обязательности связей; транслировать бизнес-требования в семантические ограничения модели данных.</w:t>
        <w:br/>
        <w:t>Компетенции: ОК 01, ОК 02, ОК 04, ОК 05, ОК 09, ПК 4.1, ПК 4.2.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с установленным веб-браузером, комплект локальных учебно-методических интерактивных материалов, мультимедийный проектор, аудиторная маркерная доска.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bookmarkStart w:id="2" w:name="_Hlk208392113"/>
      <w:r w:rsidRPr="00000C03">
        <w:rPr>
          <w:b/>
        </w:rPr>
        <w:t>Список использованных источников</w:t>
      </w:r>
      <w:r>
        <w:rPr>
          <w:b/>
        </w:rPr>
        <w:t>: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/>
    <w:p>
      <w:r>
        <w:rPr>
          <w:b/>
          <w:sz w:val="28"/>
        </w:rPr>
        <w:t>Приложение 1. Развернутый сценарий проведения учебного занятия</w:t>
      </w:r>
    </w:p>
    <w:p>
      <w:r>
        <w:rPr>
          <w:b/>
        </w:rPr>
        <w:t>Этап 1. Организационный момент и актуализация опорных знаний (80 мин: 7 мин / 60 мин: 5 мин)</w:t>
      </w:r>
    </w:p>
    <w:p>
      <w:r>
        <w:t>Преподаватель приветствует обучающихся, отмечает присутствующих в журнале и организует проблемную беседу.</w:t>
        <w:br/>
        <w:t>Слова преподавателя: «Здравствуйте, коллеги! На прошлом занятии мы научились выделять сущности и атрибуты. Но сами по себе изолированные сущности не образуют информационную систему. Что связывает данные в единую систему? Связи и строгие бизнес-правила. Представьте поликлинику: может ли один врач одновременно вести два приема? А может ли студент числиться в двух группах одновременно? Сегодня мы разберем классификацию связей по кардинальности (1:1, 1:M, M:N), научимся различать обязательное и факультативное участие, а главное — формулировать нерушимые бизнес-правила предметной области. По итогам пары каждый выполнит индивидуальный расчетный лист по своему варианту на 4 балла.»</w:t>
        <w:br/>
        <w:t>Ответ обучающегося: «Без ограничений целостности любой сбой или ошибка оператора приведет к двойной продаже билета на самолет или записи к врачу на одно время, что разрушит доверие к системе!»</w:t>
        <w:br/>
        <w:t>Преподаватель: «Совершенно верно! Это семантическая целостность данных, которую мы обязаны заложить на этапе проектирования.»</w:t>
      </w:r>
    </w:p>
    <w:p>
      <w:r>
        <w:rPr>
          <w:b/>
        </w:rPr>
        <w:t>Этап 2. Сообщение новых знаний (80 мин: 28 мин / 60 мин: 20 мин)</w:t>
      </w:r>
    </w:p>
    <w:p>
      <w:r>
        <w:t>Преподаватель излагает теорию связей, демонстрируя слайды презентации и выполняя построения на доске.</w:t>
        <w:br/>
        <w:t>Слова преподавателя: «Связь (Relationship) — это содержательная ассоциация между сущностями предметной области. В ERD применяются нотации Чена (ромбы связей) и Crow's Foot («воронья лапка»). Ключевой параметр связи — кардинальность:</w:t>
        <w:br/>
        <w:t>1. Один к одному (1:1): Паспорт гражданина. В реляционной таблице — UNIQUE FK.</w:t>
        <w:br/>
        <w:t>2. Один ко многим (1:M): Учебная группа и студенты. Это основной кирпичик реляционных баз данных. Внешний ключ (FK) всегда мигрирует в дочернюю таблицу со стороны "Многие"!</w:t>
        <w:br/>
        <w:t>3. Многие ко многим (M:N): Студенты и дисциплины, Врачи и пациенты. Реляционные СУБД физически не поддерживают связь M:N напрямую! Мы декомпозируем ее на две связи 1:M через промежуточную связующую таблицу (Junction Table).</w:t>
        <w:br/>
        <w:t>Класс принадлежности: обязательное участие (Mandatory, NOT NULL) и факультативное участие (Optional, допустим NULL). Например, новый врач в штате может временно не иметь приемов (факультативно), но прием не может существовать без врача (обязательно).</w:t>
        <w:br/>
        <w:t>Бизнес-правило — это формальное требование организации, защищающее логику данных от искажений (темпоральные коллизии, балансовые ограничения, правила овербукинга).»</w:t>
      </w:r>
    </w:p>
    <w:p>
      <w:r>
        <w:rPr>
          <w:b/>
        </w:rPr>
        <w:t>Этап 3. Демонстрация эталона системного анализа (80 мин: 15 мин / 60 мин: 10 мин)</w:t>
      </w:r>
    </w:p>
    <w:p>
      <w:r>
        <w:t>Преподаватель демонстрирует сквозной кейс: Библиотечная система (Читатель — Выдача — Книга).</w:t>
        <w:br/>
        <w:t>Шаг 1. Сущности: Читатель, Книга, Выдача.</w:t>
        <w:br/>
        <w:t>Шаг 2. Связи: Читатель — Выдача (1:M, факультативное у Читателя, обязательное у Выдачи); Книга — Выдача (1:M, факультативное у Книги, обязательное у Выдачи). Отношение Читатель — Книга (M:N) декомпозировано через сущность Выдача.</w:t>
        <w:br/>
        <w:t>Шаг 3. Бизнес-правила: 1) Выдача оформляется строго на один читательский билет; 2) Срок выдачи книги не превышает 30 дней; 3) При наличии просроченных книг выдача блокируется.</w:t>
        <w:br/>
        <w:t>Шаг 4. Ограничения целостности: экземпляр книги не может быть выдан повторно, пока поле Дата_Возврата не заполнено; один читатель не может держать на руках более 5 книг одновременно.</w:t>
      </w:r>
    </w:p>
    <w:p>
      <w:r>
        <w:rPr>
          <w:b/>
        </w:rPr>
        <w:t>Этап 4. Закрепление знаний: самостоятельная работа обучающихся (80 мин: 20 мин / 60 мин: 15 мин)</w:t>
      </w:r>
    </w:p>
    <w:p>
      <w:r>
        <w:t>Обучающиеся очно открывают интерактивный лист zanyatie.html и выполняют индивидуальный анализ по одному из 4 вариантов:</w:t>
        <w:br/>
        <w:t>- Вариант 1: Медицинский центр (Врач — Прием — Пациент: 1:M, факультативность врача, запрет одновременной записи).</w:t>
        <w:br/>
        <w:t>- Вариант 2: Университетский учебный процесс (Студент — Группа — Дисциплина — Преподаватель: M:N, 1:M, ведомости аттестации).</w:t>
        <w:br/>
        <w:t>- Вариант 3: Банковская система кредитования (Клиент — Кредитный договор — Платеж: 1:M, балансовые ограничения долга).</w:t>
        <w:br/>
        <w:t>- Вариант 4: Авиаперевозки (Рейс — Самолет — Билет — Пассажир: 1:1 Пассажир-Место на рейсе, M:N рейсов и аэропортов).</w:t>
        <w:br/>
        <w:t>Преподаватель контролирует процесс, предупреждает ошибки мгновенного среза.</w:t>
      </w:r>
    </w:p>
    <w:p>
      <w:r>
        <w:rPr>
          <w:b/>
        </w:rPr>
        <w:t>Этап 5. Экспертный разбор типичных затруднений (80 мин: 6 мин / 60 мин: 6 мин)</w:t>
      </w:r>
    </w:p>
    <w:p>
      <w:r>
        <w:t>Преподаватель проводит разбор характерных недочетов: «Обратите внимание на вариант 4: связь Пассажир — Место в посадочном талоне является строго 1:1 именно в рамках конкретного рейса! Не путайте жизненный цикл человека с контекстом одного перелета. В варианте 3: бизнес-правило — это ограничение предметной области (сумма платежей не превышает тело кредита), а не формат поля VARCHAR.»</w:t>
      </w:r>
    </w:p>
    <w:p>
      <w:r>
        <w:rPr>
          <w:b/>
        </w:rPr>
        <w:t>Этап 6. Итог занятия и рефлексия (80 мин: 4 мин / 60 мин: 4 мин)</w:t>
      </w:r>
    </w:p>
    <w:p>
      <w:r>
        <w:t>Преподаватель подводит итоги: «Все задачи занятия выполнены. Вы овладели методикой моделирования связей и бизнес-правил. Оценивание производится по 4-балльной шкале (связи и кардинальность — 2 б., правила — 1 б., ограничения — 1 б.). Сохраните файлы в PDF для проверки. Резервное домашнее задание выполняют только студенты по специальному назначению преподавателя при пропуске пары. Спасибо за продуктивную работу!»</w:t>
      </w:r>
    </w:p>
    <w:p/>
    <w:p>
      <w:r>
        <w:rPr>
          <w:b/>
          <w:sz w:val="28"/>
        </w:rPr>
        <w:t>Приложение 2. Варианты практических заданий для обучающихся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rPr>
                <w:b/>
              </w:rPr>
              <w:t>Вариант</w:t>
            </w:r>
          </w:p>
        </w:tc>
        <w:tc>
          <w:tcPr>
            <w:tcW w:type="dxa" w:w="2480"/>
          </w:tcPr>
          <w:p>
            <w:r>
              <w:rPr>
                <w:b/>
              </w:rPr>
              <w:t>Предметная область</w:t>
            </w:r>
          </w:p>
        </w:tc>
        <w:tc>
          <w:tcPr>
            <w:tcW w:type="dxa" w:w="2480"/>
          </w:tcPr>
          <w:p>
            <w:r>
              <w:rPr>
                <w:b/>
              </w:rPr>
              <w:t>Ключевые сущности и кардинальность</w:t>
            </w:r>
          </w:p>
        </w:tc>
        <w:tc>
          <w:tcPr>
            <w:tcW w:type="dxa" w:w="2480"/>
          </w:tcPr>
          <w:p>
            <w:r>
              <w:rPr>
                <w:b/>
              </w:rPr>
              <w:t>Критическое семантическое правило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Медицинский центр</w:t>
            </w:r>
          </w:p>
        </w:tc>
        <w:tc>
          <w:tcPr>
            <w:tcW w:type="dxa" w:w="2480"/>
          </w:tcPr>
          <w:p>
            <w:r>
              <w:t>Врач — Прием (1:M, врач факультативен); Пациент — Прием (1:M); Врач — Пациент (M:N декомпозирована)</w:t>
            </w:r>
          </w:p>
        </w:tc>
        <w:tc>
          <w:tcPr>
            <w:tcW w:type="dxa" w:w="2480"/>
          </w:tcPr>
          <w:p>
            <w:r>
              <w:t>Пациент не может быть записан к двум врачам на одно время; врач ведет не более 1 приема одновременно.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Университетский процесс</w:t>
            </w:r>
          </w:p>
        </w:tc>
        <w:tc>
          <w:tcPr>
            <w:tcW w:type="dxa" w:w="2480"/>
          </w:tcPr>
          <w:p>
            <w:r>
              <w:t>Группа — Студент (1:M); Студент — Дисциплина (M:N через Успеваемость); Преподаватель — Дисциплина (M:N)</w:t>
            </w:r>
          </w:p>
        </w:tc>
        <w:tc>
          <w:tcPr>
            <w:tcW w:type="dxa" w:w="2480"/>
          </w:tcPr>
          <w:p>
            <w:r>
              <w:t>Студент аттестуется только по дисциплинам учебного плана своей группы в текущем семестре.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Банковское кредитование</w:t>
            </w:r>
          </w:p>
        </w:tc>
        <w:tc>
          <w:tcPr>
            <w:tcW w:type="dxa" w:w="2480"/>
          </w:tcPr>
          <w:p>
            <w:r>
              <w:t>Клиент — Договор (1:M, клиент факультативен); Договор — Платеж (1:M, платеж обязателен)</w:t>
            </w:r>
          </w:p>
        </w:tc>
        <w:tc>
          <w:tcPr>
            <w:tcW w:type="dxa" w:w="2480"/>
          </w:tcPr>
          <w:p>
            <w:r>
              <w:t>Сумма погашения долга не превышает сумму выданного кредита; дата платежа не раньше даты договора.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Авиаперевозки</w:t>
            </w:r>
          </w:p>
        </w:tc>
        <w:tc>
          <w:tcPr>
            <w:tcW w:type="dxa" w:w="2480"/>
          </w:tcPr>
          <w:p>
            <w:r>
              <w:t>Рейсы и Аэропорты (дуальная M:N); Самолет — Рейс (1:M); Пассажир — Место на рейсе (строго 1:1)</w:t>
            </w:r>
          </w:p>
        </w:tc>
        <w:tc>
          <w:tcPr>
            <w:tcW w:type="dxa" w:w="2480"/>
          </w:tcPr>
          <w:p>
            <w:r>
              <w:t>Пара (Рейс, Место) уникальна; число проданных билетов не превышает вместимость борта.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